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DB2" w:rsidRPr="006632F1" w:rsidRDefault="00D90DB2" w:rsidP="00D90DB2">
      <w:pPr>
        <w:jc w:val="center"/>
        <w:rPr>
          <w:rFonts w:asciiTheme="majorBidi" w:hAnsiTheme="majorBidi" w:cstheme="majorBidi"/>
          <w:sz w:val="34"/>
          <w:szCs w:val="34"/>
          <w:lang w:val="en-US"/>
        </w:rPr>
      </w:pPr>
      <w:bookmarkStart w:id="0" w:name="_GoBack"/>
      <w:bookmarkEnd w:id="0"/>
      <w:r w:rsidRPr="006632F1">
        <w:rPr>
          <w:rFonts w:asciiTheme="majorBidi" w:hAnsiTheme="majorBidi" w:cstheme="majorBidi"/>
          <w:sz w:val="34"/>
          <w:szCs w:val="34"/>
          <w:lang w:val="en-US"/>
        </w:rPr>
        <w:t>Corporate Governance Disclosure Practices and Performance</w:t>
      </w:r>
    </w:p>
    <w:p w:rsidR="007C2199" w:rsidRPr="006632F1" w:rsidRDefault="00D90DB2" w:rsidP="006632F1">
      <w:pPr>
        <w:pStyle w:val="Els-Title"/>
        <w:rPr>
          <w:sz w:val="34"/>
          <w:szCs w:val="34"/>
        </w:rPr>
      </w:pPr>
      <w:r w:rsidRPr="006632F1">
        <w:rPr>
          <w:sz w:val="34"/>
          <w:szCs w:val="34"/>
        </w:rPr>
        <w:t>of Islamic Banks in GCC Countries</w:t>
      </w:r>
    </w:p>
    <w:p w:rsidR="007C2199" w:rsidRPr="00BE2709" w:rsidRDefault="00D90DB2" w:rsidP="00D90DB2">
      <w:pPr>
        <w:pStyle w:val="Els-Author"/>
      </w:pPr>
      <w:r w:rsidRPr="00D90DB2">
        <w:rPr>
          <w:rFonts w:asciiTheme="majorBidi" w:hAnsiTheme="majorBidi" w:cstheme="majorBidi"/>
          <w:szCs w:val="26"/>
        </w:rPr>
        <w:t>Samir Srairi</w:t>
      </w:r>
      <w:r w:rsidR="00B2210B" w:rsidRPr="0062443E">
        <w:rPr>
          <w:szCs w:val="26"/>
          <w:vertAlign w:val="superscript"/>
        </w:rPr>
        <w:t>a</w:t>
      </w:r>
    </w:p>
    <w:p w:rsidR="007C2199" w:rsidRPr="00D90DB2" w:rsidRDefault="00B2210B" w:rsidP="002308F8">
      <w:pPr>
        <w:pStyle w:val="Els-Affiliation"/>
        <w:spacing w:after="120"/>
        <w:rPr>
          <w:rFonts w:eastAsia="Calibri"/>
          <w:iCs/>
          <w:szCs w:val="16"/>
          <w:lang w:val="id-ID"/>
        </w:rPr>
      </w:pPr>
      <w:r w:rsidRPr="00B2210B">
        <w:rPr>
          <w:rFonts w:eastAsia="Calibri"/>
        </w:rPr>
        <w:t xml:space="preserve"> </w:t>
      </w:r>
      <w:r w:rsidR="002308F8" w:rsidRPr="002308F8">
        <w:rPr>
          <w:rFonts w:eastAsia="Calibri"/>
          <w:vertAlign w:val="superscript"/>
        </w:rPr>
        <w:t>a</w:t>
      </w:r>
      <w:r w:rsidR="002308F8">
        <w:rPr>
          <w:rFonts w:eastAsia="Calibri"/>
        </w:rPr>
        <w:t xml:space="preserve">LAREQUAD, </w:t>
      </w:r>
      <w:r w:rsidR="00D90DB2" w:rsidRPr="00D90DB2">
        <w:rPr>
          <w:rFonts w:asciiTheme="majorBidi" w:hAnsiTheme="majorBidi" w:cstheme="majorBidi"/>
          <w:szCs w:val="16"/>
        </w:rPr>
        <w:t>University of Manouba</w:t>
      </w:r>
      <w:r w:rsidR="00E14962">
        <w:rPr>
          <w:rFonts w:eastAsia="Calibri"/>
          <w:iCs/>
          <w:szCs w:val="16"/>
          <w:lang w:val="id-ID"/>
        </w:rPr>
        <w:t>,</w:t>
      </w:r>
      <w:r w:rsidR="00D90DB2">
        <w:rPr>
          <w:rFonts w:eastAsia="Calibri"/>
          <w:iCs/>
          <w:szCs w:val="16"/>
        </w:rPr>
        <w:t>Tunisia</w:t>
      </w:r>
    </w:p>
    <w:p w:rsidR="007C2199" w:rsidRDefault="007C2199">
      <w:pPr>
        <w:pStyle w:val="Els-Abstract-head"/>
      </w:pPr>
      <w:r>
        <w:t>Abstract</w:t>
      </w:r>
    </w:p>
    <w:p w:rsidR="007C2199" w:rsidRPr="00802C8C" w:rsidRDefault="00D90DB2" w:rsidP="005C172F">
      <w:pPr>
        <w:pStyle w:val="Els-Abstract-text"/>
        <w:rPr>
          <w:szCs w:val="18"/>
        </w:rPr>
      </w:pPr>
      <w:r w:rsidRPr="00D90DB2">
        <w:rPr>
          <w:szCs w:val="18"/>
        </w:rPr>
        <w:t>This paper investigates the impact of the level of corporate governance disclosure on bank performance by constructing a corporate governance disclosure index (CGDI) for 27 Islamic banks operating in five Arab Gulf countries. Using content analysis on the banks’ annual reports for 3 years (2011-2013), the composite index construction uses information on six important corporate governance mechanisms, namely</w:t>
      </w:r>
      <w:r w:rsidR="00DA755C">
        <w:rPr>
          <w:szCs w:val="18"/>
        </w:rPr>
        <w:t xml:space="preserve"> </w:t>
      </w:r>
      <w:r w:rsidRPr="00D90DB2">
        <w:rPr>
          <w:rFonts w:asciiTheme="majorBidi" w:hAnsiTheme="majorBidi" w:cstheme="majorBidi"/>
          <w:szCs w:val="18"/>
        </w:rPr>
        <w:t xml:space="preserve">board structure, risk management, transparency and disclosure, audit committee, Sharia supervisory board and investment account holders. </w:t>
      </w:r>
      <w:r w:rsidRPr="00D90DB2">
        <w:rPr>
          <w:szCs w:val="18"/>
        </w:rPr>
        <w:t>The results demonstrate that Islamic banks adhere to 54% of the attributes addressed in the CGDI. The most frequently reported and disclosed elements are Sharia supervisory board followed by board structure and risk management. The findings related to countries revealed that only two countries, the United Arab Emirates and Bahrain, possess a higher level of CGDI. Our regression results provide evidence that Islamic banks with higher levels of corporate governance disclosure report high operating performance measured by return on assets and return on equity. Finally, as of the effect of internal and external factors, we identified four variables that were associated with bank performance, namely size, equity, risk and concentration.</w:t>
      </w:r>
    </w:p>
    <w:p w:rsidR="007C2199" w:rsidRDefault="007C2199">
      <w:pPr>
        <w:rPr>
          <w:sz w:val="18"/>
          <w:lang w:val="en-US"/>
        </w:rPr>
      </w:pPr>
    </w:p>
    <w:p w:rsidR="007C2199" w:rsidRDefault="007C2199" w:rsidP="006E08EA">
      <w:pPr>
        <w:spacing w:after="200"/>
        <w:rPr>
          <w:sz w:val="18"/>
          <w:lang w:val="en-US"/>
        </w:rPr>
      </w:pPr>
      <w:proofErr w:type="gramStart"/>
      <w:r>
        <w:rPr>
          <w:rFonts w:hint="eastAsia"/>
          <w:sz w:val="18"/>
          <w:lang w:val="en-US"/>
        </w:rPr>
        <w:t>©</w:t>
      </w:r>
      <w:r>
        <w:rPr>
          <w:sz w:val="18"/>
          <w:lang w:val="en-US"/>
        </w:rPr>
        <w:t xml:space="preserve"> 201</w:t>
      </w:r>
      <w:r w:rsidR="006E08EA">
        <w:rPr>
          <w:sz w:val="18"/>
          <w:lang w:val="id-ID"/>
        </w:rPr>
        <w:t>5</w:t>
      </w:r>
      <w:r>
        <w:rPr>
          <w:sz w:val="18"/>
          <w:lang w:val="en-US"/>
        </w:rPr>
        <w:t xml:space="preserve"> </w:t>
      </w:r>
      <w:r w:rsidR="00740D53">
        <w:rPr>
          <w:sz w:val="18"/>
          <w:lang w:val="en-US"/>
        </w:rPr>
        <w:t>The</w:t>
      </w:r>
      <w:r>
        <w:rPr>
          <w:sz w:val="18"/>
          <w:lang w:val="en-US"/>
        </w:rPr>
        <w:t xml:space="preserve"> </w:t>
      </w:r>
      <w:r w:rsidR="00740D53">
        <w:rPr>
          <w:sz w:val="18"/>
          <w:lang w:val="en-US"/>
        </w:rPr>
        <w:t>IIUM Institute of Islamic Banking and Finance</w:t>
      </w:r>
      <w:r w:rsidR="00FE7FA7">
        <w:rPr>
          <w:sz w:val="18"/>
          <w:lang w:val="en-US"/>
        </w:rPr>
        <w:t>.</w:t>
      </w:r>
      <w:proofErr w:type="gramEnd"/>
    </w:p>
    <w:p w:rsidR="007C2199" w:rsidRPr="0055322F" w:rsidRDefault="00802C8C" w:rsidP="00D90DB2">
      <w:pPr>
        <w:pStyle w:val="Els-keywords"/>
        <w:spacing w:after="0"/>
        <w:rPr>
          <w:color w:val="FF0000"/>
          <w:sz w:val="18"/>
          <w:szCs w:val="18"/>
        </w:rPr>
      </w:pPr>
      <w:r w:rsidRPr="007056AF">
        <w:rPr>
          <w:rFonts w:asciiTheme="majorBidi" w:hAnsiTheme="majorBidi" w:cstheme="majorBidi"/>
          <w:i/>
          <w:iCs/>
          <w:szCs w:val="16"/>
        </w:rPr>
        <w:t>Keywords</w:t>
      </w:r>
      <w:r w:rsidRPr="007056AF">
        <w:rPr>
          <w:rFonts w:asciiTheme="majorBidi" w:hAnsiTheme="majorBidi" w:cstheme="majorBidi"/>
          <w:szCs w:val="16"/>
        </w:rPr>
        <w:t xml:space="preserve">: </w:t>
      </w:r>
      <w:r w:rsidR="00D90DB2" w:rsidRPr="00D90DB2">
        <w:rPr>
          <w:rFonts w:asciiTheme="majorBidi" w:hAnsiTheme="majorBidi" w:cstheme="majorBidi"/>
          <w:szCs w:val="16"/>
        </w:rPr>
        <w:t>Governance mechanisms, Corporate Governance DisclosureIndex, Bank performance, Islamic banks, GCC countries</w:t>
      </w:r>
    </w:p>
    <w:p w:rsidR="00693AF8" w:rsidRDefault="00693AF8" w:rsidP="00693AF8">
      <w:pPr>
        <w:jc w:val="both"/>
        <w:rPr>
          <w:rFonts w:asciiTheme="majorBidi" w:hAnsiTheme="majorBidi" w:cstheme="majorBidi"/>
          <w:b/>
          <w:bCs/>
          <w:sz w:val="18"/>
          <w:szCs w:val="18"/>
          <w:lang w:val="en-US"/>
        </w:rPr>
      </w:pPr>
    </w:p>
    <w:p w:rsidR="00693AF8" w:rsidRDefault="002308F8" w:rsidP="00693AF8">
      <w:pPr>
        <w:jc w:val="both"/>
        <w:rPr>
          <w:rFonts w:asciiTheme="majorBidi" w:hAnsiTheme="majorBidi" w:cstheme="majorBidi"/>
          <w:b/>
          <w:bCs/>
          <w:lang w:val="en-US"/>
        </w:rPr>
      </w:pPr>
      <w:r>
        <w:rPr>
          <w:rFonts w:asciiTheme="majorBidi" w:hAnsiTheme="majorBidi" w:cstheme="majorBidi"/>
          <w:b/>
          <w:bCs/>
          <w:lang w:val="en-US"/>
        </w:rPr>
        <w:t xml:space="preserve">1. </w:t>
      </w:r>
      <w:r w:rsidR="00693AF8" w:rsidRPr="00693AF8">
        <w:rPr>
          <w:rFonts w:asciiTheme="majorBidi" w:hAnsiTheme="majorBidi" w:cstheme="majorBidi"/>
          <w:b/>
          <w:bCs/>
          <w:lang w:val="en-US"/>
        </w:rPr>
        <w:t>Introduction</w:t>
      </w:r>
    </w:p>
    <w:p w:rsidR="002308F8" w:rsidRPr="00693AF8" w:rsidRDefault="002308F8" w:rsidP="00693AF8">
      <w:pPr>
        <w:jc w:val="both"/>
        <w:rPr>
          <w:rFonts w:asciiTheme="majorBidi" w:hAnsiTheme="majorBidi" w:cstheme="majorBidi"/>
          <w:b/>
          <w:bCs/>
          <w:lang w:val="en-US"/>
        </w:rPr>
      </w:pPr>
    </w:p>
    <w:p w:rsidR="00693AF8" w:rsidRPr="00693AF8" w:rsidRDefault="00693AF8" w:rsidP="002308F8">
      <w:pPr>
        <w:spacing w:line="240" w:lineRule="exact"/>
        <w:ind w:right="-28" w:firstLine="246"/>
        <w:jc w:val="both"/>
        <w:rPr>
          <w:rFonts w:asciiTheme="majorBidi" w:hAnsiTheme="majorBidi" w:cstheme="majorBidi"/>
          <w:lang w:val="en-US"/>
        </w:rPr>
      </w:pPr>
      <w:r w:rsidRPr="00693AF8">
        <w:rPr>
          <w:rFonts w:asciiTheme="majorBidi" w:hAnsiTheme="majorBidi" w:cstheme="majorBidi"/>
          <w:lang w:val="en-US"/>
        </w:rPr>
        <w:t>A series of high profile corporate failures and a succession of financial crises over the past 20 years have raised several questions and focused attention on corporate governance issues, especially for financial institutions. In the banking system, corporate governance plays a special role due to the uniqueness of these organizations. According to Levine (2004), financial institutions have their particularities such as higher opaqueness, heavy regulation and intervention by the government, which require a distinct analysis of corporate governance issues. In addition, corporate governance has a higher level of importance and assumes a crucial role since banks mobilize public savings, depend on public trust and have more diverse stakeholders (</w:t>
      </w:r>
      <w:proofErr w:type="spellStart"/>
      <w:r w:rsidRPr="00693AF8">
        <w:rPr>
          <w:rFonts w:asciiTheme="majorBidi" w:hAnsiTheme="majorBidi" w:cstheme="majorBidi"/>
          <w:lang w:val="en-US"/>
        </w:rPr>
        <w:t>Darmadi</w:t>
      </w:r>
      <w:proofErr w:type="spellEnd"/>
      <w:r w:rsidRPr="00693AF8">
        <w:rPr>
          <w:rFonts w:asciiTheme="majorBidi" w:hAnsiTheme="majorBidi" w:cstheme="majorBidi"/>
          <w:lang w:val="en-US"/>
        </w:rPr>
        <w:t xml:space="preserve">, 2011). The poor governance of banks has resulted in the failure of banks during crises, as well as financial scandals. Kirkpatrick (2009) concludes that the current global financial crisis can be attributed to failures and weaknesses in corporate governance arrangements in financial services companies. Some academic studies also emphasize that flaws in bank governance played a key role in the performance of banks (Diamond and </w:t>
      </w:r>
      <w:proofErr w:type="spellStart"/>
      <w:r w:rsidRPr="00693AF8">
        <w:rPr>
          <w:rFonts w:asciiTheme="majorBidi" w:hAnsiTheme="majorBidi" w:cstheme="majorBidi"/>
          <w:lang w:val="en-US"/>
        </w:rPr>
        <w:t>Rajan</w:t>
      </w:r>
      <w:proofErr w:type="spellEnd"/>
      <w:r w:rsidRPr="00693AF8">
        <w:rPr>
          <w:rFonts w:asciiTheme="majorBidi" w:hAnsiTheme="majorBidi" w:cstheme="majorBidi"/>
          <w:lang w:val="en-US"/>
        </w:rPr>
        <w:t xml:space="preserve">, 2009; </w:t>
      </w:r>
      <w:proofErr w:type="spellStart"/>
      <w:r w:rsidRPr="00693AF8">
        <w:rPr>
          <w:rFonts w:asciiTheme="majorBidi" w:hAnsiTheme="majorBidi" w:cstheme="majorBidi"/>
          <w:lang w:val="en-US"/>
        </w:rPr>
        <w:t>Bebchuck</w:t>
      </w:r>
      <w:proofErr w:type="spellEnd"/>
      <w:r w:rsidRPr="00693AF8">
        <w:rPr>
          <w:rFonts w:asciiTheme="majorBidi" w:hAnsiTheme="majorBidi" w:cstheme="majorBidi"/>
          <w:lang w:val="en-US"/>
        </w:rPr>
        <w:t xml:space="preserve"> and </w:t>
      </w:r>
      <w:proofErr w:type="spellStart"/>
      <w:r w:rsidRPr="00693AF8">
        <w:rPr>
          <w:rFonts w:asciiTheme="majorBidi" w:hAnsiTheme="majorBidi" w:cstheme="majorBidi"/>
          <w:lang w:val="en-US"/>
        </w:rPr>
        <w:t>Spamann</w:t>
      </w:r>
      <w:proofErr w:type="spellEnd"/>
      <w:r w:rsidRPr="00693AF8">
        <w:rPr>
          <w:rFonts w:asciiTheme="majorBidi" w:hAnsiTheme="majorBidi" w:cstheme="majorBidi"/>
          <w:lang w:val="en-US"/>
        </w:rPr>
        <w:t xml:space="preserve">, 2010; </w:t>
      </w:r>
      <w:proofErr w:type="spellStart"/>
      <w:r w:rsidRPr="00693AF8">
        <w:rPr>
          <w:rFonts w:asciiTheme="majorBidi" w:hAnsiTheme="majorBidi" w:cstheme="majorBidi"/>
          <w:lang w:val="en-US"/>
        </w:rPr>
        <w:t>Beltratti</w:t>
      </w:r>
      <w:proofErr w:type="spellEnd"/>
      <w:r w:rsidRPr="00693AF8">
        <w:rPr>
          <w:rFonts w:asciiTheme="majorBidi" w:hAnsiTheme="majorBidi" w:cstheme="majorBidi"/>
          <w:lang w:val="en-US"/>
        </w:rPr>
        <w:t xml:space="preserve"> and </w:t>
      </w:r>
      <w:proofErr w:type="spellStart"/>
      <w:r w:rsidRPr="00693AF8">
        <w:rPr>
          <w:rFonts w:asciiTheme="majorBidi" w:hAnsiTheme="majorBidi" w:cstheme="majorBidi"/>
          <w:lang w:val="en-US"/>
        </w:rPr>
        <w:t>Stulz</w:t>
      </w:r>
      <w:proofErr w:type="spellEnd"/>
      <w:r w:rsidRPr="00693AF8">
        <w:rPr>
          <w:rFonts w:asciiTheme="majorBidi" w:hAnsiTheme="majorBidi" w:cstheme="majorBidi"/>
          <w:lang w:val="en-US"/>
        </w:rPr>
        <w:t>, 2012).</w:t>
      </w:r>
    </w:p>
    <w:p w:rsidR="006632F1" w:rsidRDefault="00693AF8" w:rsidP="002308F8">
      <w:pPr>
        <w:spacing w:line="240" w:lineRule="exact"/>
        <w:ind w:right="-28" w:firstLine="246"/>
        <w:jc w:val="both"/>
        <w:rPr>
          <w:rFonts w:asciiTheme="majorBidi" w:hAnsiTheme="majorBidi" w:cstheme="majorBidi"/>
          <w:lang w:val="en-US"/>
        </w:rPr>
      </w:pPr>
      <w:r w:rsidRPr="00693AF8">
        <w:rPr>
          <w:rFonts w:asciiTheme="majorBidi" w:hAnsiTheme="majorBidi" w:cstheme="majorBidi"/>
          <w:lang w:val="en-US"/>
        </w:rPr>
        <w:t xml:space="preserve">Islamic banks have had a similar experience of collapse as conventional banks and have been also exposed to corporate governance failures. According to </w:t>
      </w:r>
      <w:proofErr w:type="spellStart"/>
      <w:r w:rsidRPr="00693AF8">
        <w:rPr>
          <w:rFonts w:asciiTheme="majorBidi" w:hAnsiTheme="majorBidi" w:cstheme="majorBidi"/>
          <w:lang w:val="en-US"/>
        </w:rPr>
        <w:t>Grais</w:t>
      </w:r>
      <w:proofErr w:type="spellEnd"/>
      <w:r w:rsidRPr="00693AF8">
        <w:rPr>
          <w:rFonts w:asciiTheme="majorBidi" w:hAnsiTheme="majorBidi" w:cstheme="majorBidi"/>
          <w:lang w:val="en-US"/>
        </w:rPr>
        <w:t xml:space="preserve"> and </w:t>
      </w:r>
      <w:proofErr w:type="spellStart"/>
      <w:r w:rsidRPr="00693AF8">
        <w:rPr>
          <w:rFonts w:asciiTheme="majorBidi" w:hAnsiTheme="majorBidi" w:cstheme="majorBidi"/>
          <w:lang w:val="en-US"/>
        </w:rPr>
        <w:t>Pellegrini</w:t>
      </w:r>
      <w:proofErr w:type="spellEnd"/>
      <w:r w:rsidRPr="00693AF8">
        <w:rPr>
          <w:rFonts w:asciiTheme="majorBidi" w:hAnsiTheme="majorBidi" w:cstheme="majorBidi"/>
          <w:lang w:val="en-US"/>
        </w:rPr>
        <w:t xml:space="preserve"> (2006), the failures have occurred due to the board of directors’ collusion with the top management, audit failures, the lack of consideration for minority shareholders’ interest and the excessive risk-taking by management. With regards to these failures and since Islamic banks are exposed to additional risks (relating to </w:t>
      </w:r>
      <w:proofErr w:type="spellStart"/>
      <w:r w:rsidRPr="00693AF8">
        <w:rPr>
          <w:rFonts w:asciiTheme="majorBidi" w:hAnsiTheme="majorBidi" w:cstheme="majorBidi"/>
          <w:lang w:val="en-US"/>
        </w:rPr>
        <w:t>Mudaraba</w:t>
      </w:r>
      <w:proofErr w:type="spellEnd"/>
      <w:r w:rsidRPr="00693AF8">
        <w:rPr>
          <w:rFonts w:asciiTheme="majorBidi" w:hAnsiTheme="majorBidi" w:cstheme="majorBidi"/>
          <w:lang w:val="en-US"/>
        </w:rPr>
        <w:t xml:space="preserve"> investment account, risk of sharia incompliance) compared to conventional banks, an important challenge for an Islamic bank is to improve the quality of its corporate governance. </w:t>
      </w:r>
      <w:proofErr w:type="spellStart"/>
      <w:r w:rsidRPr="00693AF8">
        <w:rPr>
          <w:rFonts w:asciiTheme="majorBidi" w:hAnsiTheme="majorBidi" w:cstheme="majorBidi"/>
          <w:lang w:val="en-US"/>
        </w:rPr>
        <w:t>Iqbal</w:t>
      </w:r>
      <w:proofErr w:type="spellEnd"/>
      <w:r w:rsidRPr="00693AF8">
        <w:rPr>
          <w:rFonts w:asciiTheme="majorBidi" w:hAnsiTheme="majorBidi" w:cstheme="majorBidi"/>
          <w:lang w:val="en-US"/>
        </w:rPr>
        <w:t xml:space="preserve"> and </w:t>
      </w:r>
      <w:proofErr w:type="spellStart"/>
      <w:r w:rsidRPr="00693AF8">
        <w:rPr>
          <w:rFonts w:asciiTheme="majorBidi" w:hAnsiTheme="majorBidi" w:cstheme="majorBidi"/>
          <w:lang w:val="en-US"/>
        </w:rPr>
        <w:t>Mirakhor</w:t>
      </w:r>
      <w:proofErr w:type="spellEnd"/>
      <w:r w:rsidRPr="00693AF8">
        <w:rPr>
          <w:rFonts w:asciiTheme="majorBidi" w:hAnsiTheme="majorBidi" w:cstheme="majorBidi"/>
          <w:lang w:val="en-US"/>
        </w:rPr>
        <w:t xml:space="preserve"> (2004) stated that corporate governance from an Islamic perspective can be described as a system that has a critical goal which is to preserve stakeholder’s rights that might be exposed to any type of risk as a result of organization’s actions. </w:t>
      </w:r>
    </w:p>
    <w:p w:rsidR="006632F1" w:rsidRDefault="00693AF8" w:rsidP="002308F8">
      <w:pPr>
        <w:spacing w:line="240" w:lineRule="exact"/>
        <w:ind w:right="-28" w:firstLine="246"/>
        <w:jc w:val="both"/>
        <w:rPr>
          <w:rFonts w:asciiTheme="majorBidi" w:hAnsiTheme="majorBidi" w:cstheme="majorBidi"/>
          <w:lang w:val="en-US"/>
        </w:rPr>
      </w:pPr>
      <w:r w:rsidRPr="00693AF8">
        <w:rPr>
          <w:rFonts w:asciiTheme="majorBidi" w:hAnsiTheme="majorBidi" w:cstheme="majorBidi"/>
          <w:lang w:val="en-US"/>
        </w:rPr>
        <w:lastRenderedPageBreak/>
        <w:t xml:space="preserve">To increasing stakeholders’ confidence in the Islamic financial system, Islamic banks need to have a better Sharia compliance structure, which ensure and offer Sharia-compliant operations and services. Sharia compliance in Islamic banks refers to the activities and operations of Islamic banks that need to be free from any elements of sinful activities, Sharia of risk, exploitation as well as having real </w:t>
      </w:r>
      <w:proofErr w:type="gramStart"/>
      <w:r w:rsidRPr="00693AF8">
        <w:rPr>
          <w:rFonts w:asciiTheme="majorBidi" w:hAnsiTheme="majorBidi" w:cstheme="majorBidi"/>
          <w:lang w:val="en-US"/>
        </w:rPr>
        <w:t>a</w:t>
      </w:r>
      <w:proofErr w:type="gramEnd"/>
      <w:r w:rsidRPr="00693AF8">
        <w:rPr>
          <w:rFonts w:asciiTheme="majorBidi" w:hAnsiTheme="majorBidi" w:cstheme="majorBidi"/>
          <w:lang w:val="en-US"/>
        </w:rPr>
        <w:t xml:space="preserve"> economic purpose to finance socially productive sectors in the economy (Mohamed, 2007). In addition, according to Abu-</w:t>
      </w:r>
      <w:proofErr w:type="spellStart"/>
      <w:r w:rsidRPr="00693AF8">
        <w:rPr>
          <w:rFonts w:asciiTheme="majorBidi" w:hAnsiTheme="majorBidi" w:cstheme="majorBidi"/>
          <w:lang w:val="en-US"/>
        </w:rPr>
        <w:t>Tapanjeh</w:t>
      </w:r>
      <w:proofErr w:type="spellEnd"/>
      <w:r w:rsidRPr="00693AF8">
        <w:rPr>
          <w:rFonts w:asciiTheme="majorBidi" w:hAnsiTheme="majorBidi" w:cstheme="majorBidi"/>
          <w:lang w:val="en-US"/>
        </w:rPr>
        <w:t xml:space="preserve"> (2009), accountability is entitled to produce a true and fail disclosure and transparency. Hence, true disclosure of financial acts, and accurate and adequate information should freely available to the users. Therefore, Islamic banks are deemed to have a reliable governance model with an extremely high level of accountability in order to protect and safeguard the rights and interest of their stakeholders (shareholders, investment account holders, management, creditors, </w:t>
      </w:r>
      <w:proofErr w:type="gramStart"/>
      <w:r w:rsidRPr="00693AF8">
        <w:rPr>
          <w:rFonts w:asciiTheme="majorBidi" w:hAnsiTheme="majorBidi" w:cstheme="majorBidi"/>
          <w:lang w:val="en-US"/>
        </w:rPr>
        <w:t>employees</w:t>
      </w:r>
      <w:proofErr w:type="gramEnd"/>
      <w:r w:rsidRPr="00693AF8">
        <w:rPr>
          <w:rFonts w:asciiTheme="majorBidi" w:hAnsiTheme="majorBidi" w:cstheme="majorBidi"/>
          <w:lang w:val="en-US"/>
        </w:rPr>
        <w:t>). In consequence, Islamic banks are expected to disclose the characteristics of their corporate governance to their stakeholders, enabling them to assess how the bank is governed and how their investments is managed in sharia-compliant and prudential manners (</w:t>
      </w:r>
      <w:proofErr w:type="spellStart"/>
      <w:r w:rsidRPr="00693AF8">
        <w:rPr>
          <w:rFonts w:asciiTheme="majorBidi" w:hAnsiTheme="majorBidi" w:cstheme="majorBidi"/>
          <w:lang w:val="en-US"/>
        </w:rPr>
        <w:t>Darmadi</w:t>
      </w:r>
      <w:proofErr w:type="spellEnd"/>
      <w:r w:rsidRPr="00693AF8">
        <w:rPr>
          <w:rFonts w:asciiTheme="majorBidi" w:hAnsiTheme="majorBidi" w:cstheme="majorBidi"/>
          <w:lang w:val="en-US"/>
        </w:rPr>
        <w:t xml:space="preserve">, 2011). Such disclosure can enhance monitoring and internal control and improve firm performance. Many empirical studies have been conducted, highlighting the issue of disclosure on firm performance (e.g. Patel, 2002; </w:t>
      </w:r>
      <w:proofErr w:type="spellStart"/>
      <w:r w:rsidRPr="00693AF8">
        <w:rPr>
          <w:rFonts w:asciiTheme="majorBidi" w:hAnsiTheme="majorBidi" w:cstheme="majorBidi"/>
          <w:lang w:val="en-US"/>
        </w:rPr>
        <w:t>Hossain</w:t>
      </w:r>
      <w:proofErr w:type="spellEnd"/>
      <w:r w:rsidRPr="00693AF8">
        <w:rPr>
          <w:rFonts w:asciiTheme="majorBidi" w:hAnsiTheme="majorBidi" w:cstheme="majorBidi"/>
          <w:lang w:val="en-US"/>
        </w:rPr>
        <w:t xml:space="preserve">, 2008; </w:t>
      </w:r>
      <w:proofErr w:type="spellStart"/>
      <w:r w:rsidRPr="00693AF8">
        <w:rPr>
          <w:rFonts w:asciiTheme="majorBidi" w:hAnsiTheme="majorBidi" w:cstheme="majorBidi"/>
          <w:lang w:val="en-US"/>
        </w:rPr>
        <w:t>Srairi</w:t>
      </w:r>
      <w:proofErr w:type="spellEnd"/>
      <w:r w:rsidRPr="00693AF8">
        <w:rPr>
          <w:rFonts w:asciiTheme="majorBidi" w:hAnsiTheme="majorBidi" w:cstheme="majorBidi"/>
          <w:lang w:val="en-US"/>
        </w:rPr>
        <w:t xml:space="preserve"> and Ben </w:t>
      </w:r>
      <w:proofErr w:type="spellStart"/>
      <w:r w:rsidRPr="00693AF8">
        <w:rPr>
          <w:rFonts w:asciiTheme="majorBidi" w:hAnsiTheme="majorBidi" w:cstheme="majorBidi"/>
          <w:lang w:val="en-US"/>
        </w:rPr>
        <w:t>Douissa</w:t>
      </w:r>
      <w:proofErr w:type="spellEnd"/>
      <w:r w:rsidRPr="00693AF8">
        <w:rPr>
          <w:rFonts w:asciiTheme="majorBidi" w:hAnsiTheme="majorBidi" w:cstheme="majorBidi"/>
          <w:lang w:val="en-US"/>
        </w:rPr>
        <w:t xml:space="preserve">, 2014). </w:t>
      </w:r>
    </w:p>
    <w:p w:rsidR="006632F1" w:rsidRDefault="00693AF8" w:rsidP="002308F8">
      <w:pPr>
        <w:spacing w:line="240" w:lineRule="exact"/>
        <w:ind w:right="-28" w:firstLine="246"/>
        <w:jc w:val="both"/>
        <w:rPr>
          <w:rFonts w:asciiTheme="majorBidi" w:hAnsiTheme="majorBidi" w:cstheme="majorBidi"/>
          <w:lang w:val="en-US"/>
        </w:rPr>
      </w:pPr>
      <w:r w:rsidRPr="00693AF8">
        <w:rPr>
          <w:rFonts w:asciiTheme="majorBidi" w:hAnsiTheme="majorBidi" w:cstheme="majorBidi"/>
          <w:lang w:val="en-US"/>
        </w:rPr>
        <w:t>Accordingly, this study attempts to examine this issue by looking at how the amount of information related to corporate governance practices and disclosed by Islamic banks affects their performance. Two questions are worth asking: How is corporate governance measured</w:t>
      </w:r>
      <w:r w:rsidR="009D41AD">
        <w:rPr>
          <w:rFonts w:asciiTheme="majorBidi" w:hAnsiTheme="majorBidi" w:cstheme="majorBidi"/>
          <w:lang w:val="en-US"/>
        </w:rPr>
        <w:t xml:space="preserve"> </w:t>
      </w:r>
      <w:r w:rsidRPr="00693AF8">
        <w:rPr>
          <w:rFonts w:asciiTheme="majorBidi" w:hAnsiTheme="majorBidi" w:cstheme="majorBidi"/>
          <w:lang w:val="en-US"/>
        </w:rPr>
        <w:t xml:space="preserve">and what is the relationship between corporate governance disclosure and performance? Instead of considering a single measure of governance, we conducted in depth assessments of corporate governance practices and proposed a set of corporate governance categories based on corporate governance principles of the Organization of Economic Co-operation and Development (OECD), guidelines and standards issued by the accounting and auditing organizations of Islamic financial institutions (AAOIFI) and the Islamic financial services boards (IFSB) as well as relevant literature. </w:t>
      </w:r>
    </w:p>
    <w:p w:rsidR="00693AF8" w:rsidRPr="00693AF8" w:rsidRDefault="00693AF8" w:rsidP="002308F8">
      <w:pPr>
        <w:spacing w:line="240" w:lineRule="exact"/>
        <w:ind w:right="-28" w:firstLine="246"/>
        <w:jc w:val="both"/>
        <w:rPr>
          <w:rFonts w:asciiTheme="majorBidi" w:hAnsiTheme="majorBidi" w:cstheme="majorBidi"/>
          <w:lang w:val="en-US"/>
        </w:rPr>
      </w:pPr>
      <w:r w:rsidRPr="00693AF8">
        <w:rPr>
          <w:rFonts w:asciiTheme="majorBidi" w:hAnsiTheme="majorBidi" w:cstheme="majorBidi"/>
          <w:lang w:val="en-US"/>
        </w:rPr>
        <w:t>Then, we developed a composite corporate governance disclosure index (CGDI), which consists of 63 attributes classified under six major governance categories, namely</w:t>
      </w:r>
      <w:r w:rsidR="009D41AD">
        <w:rPr>
          <w:rFonts w:asciiTheme="majorBidi" w:hAnsiTheme="majorBidi" w:cstheme="majorBidi"/>
          <w:lang w:val="en-US"/>
        </w:rPr>
        <w:t xml:space="preserve"> </w:t>
      </w:r>
      <w:r w:rsidRPr="00693AF8">
        <w:rPr>
          <w:rFonts w:asciiTheme="majorBidi" w:hAnsiTheme="majorBidi" w:cstheme="majorBidi"/>
          <w:lang w:val="en-US"/>
        </w:rPr>
        <w:t xml:space="preserve">board structure, risk management, transparency and disclosure, audit committee, Sharia supervisory board and investment account holders. </w:t>
      </w:r>
      <w:proofErr w:type="spellStart"/>
      <w:r w:rsidRPr="00693AF8">
        <w:rPr>
          <w:rFonts w:asciiTheme="majorBidi" w:hAnsiTheme="majorBidi" w:cstheme="majorBidi"/>
          <w:lang w:val="en-US"/>
        </w:rPr>
        <w:t>Bhagat</w:t>
      </w:r>
      <w:proofErr w:type="spellEnd"/>
      <w:r w:rsidRPr="00693AF8">
        <w:rPr>
          <w:rFonts w:asciiTheme="majorBidi" w:hAnsiTheme="majorBidi" w:cstheme="majorBidi"/>
          <w:lang w:val="en-US"/>
        </w:rPr>
        <w:t xml:space="preserve"> et al (2008) suggest that constructing a corporate governance index is beneficial as it combines the various elements of a firm’s governance system into one number, which will be used to judge the quality of governance. Since Islamic banks operate under vastly different regulatory regimes and political and economic conditions across the globe, the sample banks were selected from countries, which share common geo-political and socio-economic objectives (Gulf Cooperation Council: GCC). Our CGDI is constructed for 27 commercial Islamic banks in five GCC countries (Bahrain, Kuwait, Qatar, Saudi Arabia and the United Arab Emirates) using information from the annual reports of the banks for 3 years and for the period 2011-2013.</w:t>
      </w:r>
    </w:p>
    <w:p w:rsidR="00693AF8" w:rsidRPr="00693AF8" w:rsidRDefault="00693AF8" w:rsidP="002308F8">
      <w:pPr>
        <w:spacing w:line="240" w:lineRule="exact"/>
        <w:ind w:right="-28" w:firstLine="246"/>
        <w:jc w:val="both"/>
        <w:rPr>
          <w:rFonts w:asciiTheme="majorBidi" w:hAnsiTheme="majorBidi" w:cstheme="majorBidi"/>
          <w:lang w:val="en-US"/>
        </w:rPr>
      </w:pPr>
      <w:r w:rsidRPr="00693AF8">
        <w:rPr>
          <w:rFonts w:asciiTheme="majorBidi" w:hAnsiTheme="majorBidi" w:cstheme="majorBidi"/>
          <w:lang w:val="en-US"/>
        </w:rPr>
        <w:t xml:space="preserve">The association between corporate governance and firm performance has been extensively studied for the developed markets in the finance literature (e.g., Gompers et al. 2003; Brown and </w:t>
      </w:r>
      <w:proofErr w:type="spellStart"/>
      <w:r w:rsidRPr="00693AF8">
        <w:rPr>
          <w:rFonts w:asciiTheme="majorBidi" w:hAnsiTheme="majorBidi" w:cstheme="majorBidi"/>
          <w:lang w:val="en-US"/>
        </w:rPr>
        <w:t>Caylor</w:t>
      </w:r>
      <w:proofErr w:type="spellEnd"/>
      <w:r w:rsidRPr="00693AF8">
        <w:rPr>
          <w:rFonts w:asciiTheme="majorBidi" w:hAnsiTheme="majorBidi" w:cstheme="majorBidi"/>
          <w:lang w:val="en-US"/>
        </w:rPr>
        <w:t xml:space="preserve">, 2006; </w:t>
      </w:r>
      <w:proofErr w:type="spellStart"/>
      <w:r w:rsidRPr="00693AF8">
        <w:rPr>
          <w:rFonts w:asciiTheme="majorBidi" w:hAnsiTheme="majorBidi" w:cstheme="majorBidi"/>
          <w:lang w:val="en-US"/>
        </w:rPr>
        <w:t>Bhagat</w:t>
      </w:r>
      <w:proofErr w:type="spellEnd"/>
      <w:r w:rsidRPr="00693AF8">
        <w:rPr>
          <w:rFonts w:asciiTheme="majorBidi" w:hAnsiTheme="majorBidi" w:cstheme="majorBidi"/>
          <w:lang w:val="en-US"/>
        </w:rPr>
        <w:t xml:space="preserve"> and Bolton, 2008; Adams and Mehran, 2012).The empirical studies for this issue generate inconclusive results. Some studies (Lee et al., 1992; Gompers et al., 2003) have shown that good governance practices have led the significant increase in firm performance, higher productivity and lower risk of systematic financial failure for countries. However, other studies find a negative connection between corporate governance and firm performance (Hutchinson, 2002). Regarding Islamic banks, empirical assessment of corporate governance disclosure practices and its impact on bank performance is generally sparse. Therefore, the second objective of this paper is to assess the relationship between the level of corporate governance disclosure of Islamic banks </w:t>
      </w:r>
      <w:proofErr w:type="spellStart"/>
      <w:r w:rsidRPr="00693AF8">
        <w:rPr>
          <w:rFonts w:asciiTheme="majorBidi" w:hAnsiTheme="majorBidi" w:cstheme="majorBidi"/>
          <w:lang w:val="en-US"/>
        </w:rPr>
        <w:t>proxied</w:t>
      </w:r>
      <w:proofErr w:type="spellEnd"/>
      <w:r w:rsidRPr="00693AF8">
        <w:rPr>
          <w:rFonts w:asciiTheme="majorBidi" w:hAnsiTheme="majorBidi" w:cstheme="majorBidi"/>
          <w:lang w:val="en-US"/>
        </w:rPr>
        <w:t xml:space="preserve"> by composite disclosure index and three measures of bank performance: return on assets, return on equity and Tobin’s Q. For this purpose, we apply an econometric model and we </w:t>
      </w:r>
      <w:proofErr w:type="gramStart"/>
      <w:r w:rsidRPr="00693AF8">
        <w:rPr>
          <w:rFonts w:asciiTheme="majorBidi" w:hAnsiTheme="majorBidi" w:cstheme="majorBidi"/>
          <w:lang w:val="en-US"/>
        </w:rPr>
        <w:t>regress</w:t>
      </w:r>
      <w:proofErr w:type="gramEnd"/>
      <w:r w:rsidRPr="00693AF8">
        <w:rPr>
          <w:rFonts w:asciiTheme="majorBidi" w:hAnsiTheme="majorBidi" w:cstheme="majorBidi"/>
          <w:lang w:val="en-US"/>
        </w:rPr>
        <w:t xml:space="preserve"> measures of performance on CGDI.</w:t>
      </w:r>
      <w:r w:rsidR="009D41AD">
        <w:rPr>
          <w:rFonts w:asciiTheme="majorBidi" w:hAnsiTheme="majorBidi" w:cstheme="majorBidi"/>
          <w:lang w:val="en-US"/>
        </w:rPr>
        <w:t xml:space="preserve"> </w:t>
      </w:r>
      <w:r w:rsidRPr="00693AF8">
        <w:rPr>
          <w:rFonts w:asciiTheme="majorBidi" w:hAnsiTheme="majorBidi" w:cstheme="majorBidi"/>
          <w:lang w:val="en-US"/>
        </w:rPr>
        <w:t>Bank-specific, macroeconomic and financial industry indicators are also expected to have an impact with performance and are included in our model.</w:t>
      </w:r>
    </w:p>
    <w:p w:rsidR="00693AF8" w:rsidRPr="00693AF8" w:rsidRDefault="00693AF8" w:rsidP="002308F8">
      <w:pPr>
        <w:spacing w:line="240" w:lineRule="exact"/>
        <w:ind w:right="-28" w:firstLine="246"/>
        <w:jc w:val="both"/>
        <w:rPr>
          <w:rFonts w:asciiTheme="majorBidi" w:hAnsiTheme="majorBidi" w:cstheme="majorBidi"/>
          <w:lang w:val="en-US"/>
        </w:rPr>
      </w:pPr>
      <w:r w:rsidRPr="00693AF8">
        <w:rPr>
          <w:rFonts w:asciiTheme="majorBidi" w:hAnsiTheme="majorBidi" w:cstheme="majorBidi"/>
          <w:lang w:val="en-US"/>
        </w:rPr>
        <w:t xml:space="preserve">This study contributes to the existing literature in several ways. To our knowledge, it is the first study for the GCC countries that examines the relationship between performance and corporate governance disclosure practices using publicly available information extracted from the annual reports of Islamic banks and for a period of three years. This technique leads to objective results rather than collecting details </w:t>
      </w:r>
      <w:r w:rsidRPr="00693AF8">
        <w:rPr>
          <w:rFonts w:asciiTheme="majorBidi" w:hAnsiTheme="majorBidi" w:cstheme="majorBidi"/>
          <w:lang w:val="en-US"/>
        </w:rPr>
        <w:lastRenderedPageBreak/>
        <w:t>using a survey method, which can be subjective in nature. Second, we developed a comprehensive measure of CGDI specifically for Islamic banks. This index comprises a large set of corporate governance dimensions that will greatly enhance the literature on corporate governance in Islamic financial institutions. Finally, in our regression model, in addition of CGDI we examine a variety of variables by introducing internal and external factors that may be important in explaining the performance of Islamic banks.</w:t>
      </w:r>
    </w:p>
    <w:p w:rsidR="00693AF8" w:rsidRPr="00693AF8" w:rsidRDefault="00693AF8" w:rsidP="002308F8">
      <w:pPr>
        <w:spacing w:line="240" w:lineRule="exact"/>
        <w:ind w:right="-28" w:firstLine="246"/>
        <w:jc w:val="both"/>
        <w:rPr>
          <w:rFonts w:asciiTheme="majorBidi" w:hAnsiTheme="majorBidi" w:cstheme="majorBidi"/>
          <w:lang w:val="en-US"/>
        </w:rPr>
      </w:pPr>
      <w:r w:rsidRPr="00693AF8">
        <w:rPr>
          <w:rFonts w:asciiTheme="majorBidi" w:hAnsiTheme="majorBidi" w:cstheme="majorBidi"/>
          <w:lang w:val="en-US"/>
        </w:rPr>
        <w:t>The rest of the paper is structured as follows. Section 2 provides a review of literature related to the main corporate governance components considered for preparing the CGDI model. Section 3 presents the methodology used in the construction of this index and describes data and variables employed in the study. Section 4 assesses the quality of corporate governance of Islamic banks in GCC countries and discusses the empirical results concerning the relationship between corporate governance and Islamic bank performance. Section 5 is a summary and conclusion of the study.</w:t>
      </w:r>
    </w:p>
    <w:p w:rsidR="002308F8" w:rsidRDefault="002308F8" w:rsidP="00693AF8">
      <w:pPr>
        <w:jc w:val="both"/>
        <w:rPr>
          <w:rFonts w:asciiTheme="majorBidi" w:hAnsiTheme="majorBidi" w:cstheme="majorBidi"/>
          <w:b/>
          <w:bCs/>
          <w:lang w:val="en-US"/>
        </w:rPr>
      </w:pPr>
    </w:p>
    <w:p w:rsidR="00693AF8" w:rsidRDefault="00693AF8" w:rsidP="006632F1">
      <w:pPr>
        <w:jc w:val="both"/>
        <w:rPr>
          <w:rFonts w:asciiTheme="majorBidi" w:hAnsiTheme="majorBidi" w:cstheme="majorBidi"/>
          <w:b/>
          <w:bCs/>
          <w:lang w:val="en-US"/>
        </w:rPr>
      </w:pPr>
      <w:r w:rsidRPr="00693AF8">
        <w:rPr>
          <w:rFonts w:asciiTheme="majorBidi" w:hAnsiTheme="majorBidi" w:cstheme="majorBidi"/>
          <w:b/>
          <w:bCs/>
          <w:lang w:val="en-US"/>
        </w:rPr>
        <w:t xml:space="preserve">2. Review of the </w:t>
      </w:r>
      <w:r w:rsidR="006632F1">
        <w:rPr>
          <w:rFonts w:asciiTheme="majorBidi" w:hAnsiTheme="majorBidi" w:cstheme="majorBidi"/>
          <w:b/>
          <w:bCs/>
          <w:lang w:val="en-US"/>
        </w:rPr>
        <w:t>L</w:t>
      </w:r>
      <w:r w:rsidRPr="00693AF8">
        <w:rPr>
          <w:rFonts w:asciiTheme="majorBidi" w:hAnsiTheme="majorBidi" w:cstheme="majorBidi"/>
          <w:b/>
          <w:bCs/>
          <w:lang w:val="en-US"/>
        </w:rPr>
        <w:t xml:space="preserve">iterature: </w:t>
      </w:r>
      <w:r w:rsidR="006632F1">
        <w:rPr>
          <w:rFonts w:asciiTheme="majorBidi" w:hAnsiTheme="majorBidi" w:cstheme="majorBidi"/>
          <w:b/>
          <w:bCs/>
          <w:lang w:val="en-US"/>
        </w:rPr>
        <w:t>C</w:t>
      </w:r>
      <w:r w:rsidRPr="00693AF8">
        <w:rPr>
          <w:rFonts w:asciiTheme="majorBidi" w:hAnsiTheme="majorBidi" w:cstheme="majorBidi"/>
          <w:b/>
          <w:bCs/>
          <w:lang w:val="en-US"/>
        </w:rPr>
        <w:t xml:space="preserve">omponents of the </w:t>
      </w:r>
      <w:r w:rsidR="006632F1">
        <w:rPr>
          <w:rFonts w:asciiTheme="majorBidi" w:hAnsiTheme="majorBidi" w:cstheme="majorBidi"/>
          <w:b/>
          <w:bCs/>
          <w:lang w:val="en-US"/>
        </w:rPr>
        <w:t>C</w:t>
      </w:r>
      <w:r w:rsidRPr="00693AF8">
        <w:rPr>
          <w:rFonts w:asciiTheme="majorBidi" w:hAnsiTheme="majorBidi" w:cstheme="majorBidi"/>
          <w:b/>
          <w:bCs/>
          <w:lang w:val="en-US"/>
        </w:rPr>
        <w:t xml:space="preserve">orporate </w:t>
      </w:r>
      <w:r w:rsidR="006632F1">
        <w:rPr>
          <w:rFonts w:asciiTheme="majorBidi" w:hAnsiTheme="majorBidi" w:cstheme="majorBidi"/>
          <w:b/>
          <w:bCs/>
          <w:lang w:val="en-US"/>
        </w:rPr>
        <w:t>G</w:t>
      </w:r>
      <w:r w:rsidRPr="00693AF8">
        <w:rPr>
          <w:rFonts w:asciiTheme="majorBidi" w:hAnsiTheme="majorBidi" w:cstheme="majorBidi"/>
          <w:b/>
          <w:bCs/>
          <w:lang w:val="en-US"/>
        </w:rPr>
        <w:t xml:space="preserve">overnance </w:t>
      </w:r>
      <w:r w:rsidR="006632F1">
        <w:rPr>
          <w:rFonts w:asciiTheme="majorBidi" w:hAnsiTheme="majorBidi" w:cstheme="majorBidi"/>
          <w:b/>
          <w:bCs/>
          <w:lang w:val="en-US"/>
        </w:rPr>
        <w:t>I</w:t>
      </w:r>
      <w:r w:rsidRPr="00693AF8">
        <w:rPr>
          <w:rFonts w:asciiTheme="majorBidi" w:hAnsiTheme="majorBidi" w:cstheme="majorBidi"/>
          <w:b/>
          <w:bCs/>
          <w:lang w:val="en-US"/>
        </w:rPr>
        <w:t>ndex</w:t>
      </w:r>
    </w:p>
    <w:p w:rsidR="002308F8" w:rsidRPr="00693AF8" w:rsidRDefault="002308F8" w:rsidP="00693AF8">
      <w:pPr>
        <w:jc w:val="both"/>
        <w:rPr>
          <w:rFonts w:asciiTheme="majorBidi" w:hAnsiTheme="majorBidi" w:cstheme="majorBidi"/>
          <w:b/>
          <w:bCs/>
          <w:lang w:val="en-US"/>
        </w:rPr>
      </w:pPr>
    </w:p>
    <w:p w:rsidR="00693AF8" w:rsidRPr="00693AF8" w:rsidRDefault="00693AF8" w:rsidP="006632F1">
      <w:pPr>
        <w:spacing w:line="240" w:lineRule="exact"/>
        <w:ind w:right="-28" w:firstLine="244"/>
        <w:jc w:val="both"/>
        <w:rPr>
          <w:rFonts w:asciiTheme="majorBidi" w:hAnsiTheme="majorBidi" w:cstheme="majorBidi"/>
          <w:lang w:val="en-US"/>
        </w:rPr>
      </w:pPr>
      <w:r w:rsidRPr="00693AF8">
        <w:rPr>
          <w:rFonts w:asciiTheme="majorBidi" w:hAnsiTheme="majorBidi" w:cstheme="majorBidi"/>
          <w:lang w:val="en-US"/>
        </w:rPr>
        <w:t>Corporate governance refers to the way an organization is directed, administrated and controlled. According to Blair (1995), corporate governance refers to the whole set of legal, cultural and institutional arrangements that determine what public corporations can do, who controls them, how that control is exercised, and how the risks and return from the activities they undertake are allocated. In addition, the corporate governance structure specifies the distribution of rights and responsibilities among different participants in the corporation, such as the board, managers, shareholders and other stakeholders, and spells out the rules and procedures for making decisions on corporate affairs (OECD, 2004). Corporate governance covers and swivel around a wide range of arrangements and aspects. Scholars classify them into internal and external mechanisms. Given the large number of aspects that are covered by corporate governance, we only focus in this paper on internal practices of banks. An overview of the banking literature reveals that the main internal governance characteristics reported in most of the studies related to conventional and Islamic banks are: board of directors, risk management, transparency and disclosure, audit committee, Sharia supervisory board and investment account holders.</w:t>
      </w:r>
    </w:p>
    <w:p w:rsidR="005F04A8" w:rsidRDefault="005F04A8" w:rsidP="006632F1">
      <w:pPr>
        <w:spacing w:line="240" w:lineRule="exact"/>
        <w:ind w:right="-28" w:firstLine="244"/>
        <w:jc w:val="both"/>
        <w:rPr>
          <w:rFonts w:asciiTheme="majorBidi" w:hAnsiTheme="majorBidi" w:cstheme="majorBidi"/>
          <w:b/>
          <w:bCs/>
          <w:lang w:val="en-US"/>
        </w:rPr>
      </w:pPr>
    </w:p>
    <w:p w:rsidR="00693AF8" w:rsidRPr="005F04A8" w:rsidRDefault="005F04A8" w:rsidP="005F04A8">
      <w:pPr>
        <w:spacing w:line="240" w:lineRule="exact"/>
        <w:ind w:right="-28"/>
        <w:jc w:val="both"/>
        <w:rPr>
          <w:rFonts w:asciiTheme="majorBidi" w:hAnsiTheme="majorBidi" w:cstheme="majorBidi"/>
          <w:lang w:val="en-US"/>
        </w:rPr>
      </w:pPr>
      <w:r w:rsidRPr="005F04A8">
        <w:rPr>
          <w:rFonts w:asciiTheme="majorBidi" w:hAnsiTheme="majorBidi" w:cstheme="majorBidi"/>
          <w:lang w:val="en-US"/>
        </w:rPr>
        <w:t>2.1</w:t>
      </w:r>
      <w:r>
        <w:rPr>
          <w:rFonts w:asciiTheme="majorBidi" w:hAnsiTheme="majorBidi" w:cstheme="majorBidi"/>
          <w:lang w:val="en-US"/>
        </w:rPr>
        <w:t>.</w:t>
      </w:r>
      <w:r w:rsidRPr="005F04A8">
        <w:rPr>
          <w:rFonts w:asciiTheme="majorBidi" w:hAnsiTheme="majorBidi" w:cstheme="majorBidi"/>
          <w:lang w:val="en-US"/>
        </w:rPr>
        <w:t xml:space="preserve"> </w:t>
      </w:r>
      <w:r w:rsidR="00693AF8" w:rsidRPr="005F04A8">
        <w:rPr>
          <w:rFonts w:asciiTheme="majorBidi" w:hAnsiTheme="majorBidi" w:cstheme="majorBidi"/>
          <w:lang w:val="en-US"/>
        </w:rPr>
        <w:t xml:space="preserve">Board of </w:t>
      </w:r>
      <w:r w:rsidR="006632F1" w:rsidRPr="005F04A8">
        <w:rPr>
          <w:rFonts w:asciiTheme="majorBidi" w:hAnsiTheme="majorBidi" w:cstheme="majorBidi"/>
          <w:lang w:val="en-US"/>
        </w:rPr>
        <w:t>D</w:t>
      </w:r>
      <w:r w:rsidR="00693AF8" w:rsidRPr="005F04A8">
        <w:rPr>
          <w:rFonts w:asciiTheme="majorBidi" w:hAnsiTheme="majorBidi" w:cstheme="majorBidi"/>
          <w:lang w:val="en-US"/>
        </w:rPr>
        <w:t>irectors</w:t>
      </w:r>
    </w:p>
    <w:p w:rsidR="005F04A8" w:rsidRDefault="005F04A8" w:rsidP="006632F1">
      <w:pPr>
        <w:spacing w:line="240" w:lineRule="exact"/>
        <w:ind w:right="-28" w:firstLine="244"/>
        <w:jc w:val="both"/>
        <w:rPr>
          <w:rFonts w:asciiTheme="majorBidi" w:hAnsiTheme="majorBidi" w:cstheme="majorBidi"/>
          <w:lang w:val="en-US"/>
        </w:rPr>
      </w:pPr>
    </w:p>
    <w:p w:rsidR="00693AF8" w:rsidRPr="00693AF8" w:rsidRDefault="00693AF8" w:rsidP="006632F1">
      <w:pPr>
        <w:spacing w:line="240" w:lineRule="exact"/>
        <w:ind w:right="-28" w:firstLine="244"/>
        <w:jc w:val="both"/>
        <w:rPr>
          <w:rFonts w:asciiTheme="majorBidi" w:hAnsiTheme="majorBidi" w:cstheme="majorBidi"/>
          <w:lang w:val="en-US"/>
        </w:rPr>
      </w:pPr>
      <w:r w:rsidRPr="00693AF8">
        <w:rPr>
          <w:rFonts w:asciiTheme="majorBidi" w:hAnsiTheme="majorBidi" w:cstheme="majorBidi"/>
          <w:lang w:val="en-US"/>
        </w:rPr>
        <w:t xml:space="preserve">The board of directors is considered as one of the most important dimensions of effective corporate governance since it becomes a key mechanism to mitigate conflicts between shareholders and managers (Klein, 1998) and to avoid any conflicts of interest between the bank and the regulator (De Andres and </w:t>
      </w:r>
      <w:proofErr w:type="spellStart"/>
      <w:r w:rsidRPr="00693AF8">
        <w:rPr>
          <w:rFonts w:asciiTheme="majorBidi" w:hAnsiTheme="majorBidi" w:cstheme="majorBidi"/>
          <w:lang w:val="en-US"/>
        </w:rPr>
        <w:t>Vallelado</w:t>
      </w:r>
      <w:proofErr w:type="spellEnd"/>
      <w:r w:rsidRPr="00693AF8">
        <w:rPr>
          <w:rFonts w:asciiTheme="majorBidi" w:hAnsiTheme="majorBidi" w:cstheme="majorBidi"/>
          <w:lang w:val="en-US"/>
        </w:rPr>
        <w:t>, 2008). In addition, the board of directors has the power to hire, terminate and compensate top management (Johnson et al, 1996). The characteristics of the board, concerning board size, autonomy, structure and effectiveness, have been widely analyzed in both theoretical and empirical research. Several studies have revealed that larger board facilitates effective monitoring and provides banks with greater heterogeneous expertise, knowledge and skills (</w:t>
      </w:r>
      <w:proofErr w:type="spellStart"/>
      <w:r w:rsidRPr="00693AF8">
        <w:rPr>
          <w:rFonts w:asciiTheme="majorBidi" w:hAnsiTheme="majorBidi" w:cstheme="majorBidi"/>
          <w:lang w:val="en-US"/>
        </w:rPr>
        <w:t>Chahine</w:t>
      </w:r>
      <w:proofErr w:type="spellEnd"/>
      <w:r w:rsidRPr="00693AF8">
        <w:rPr>
          <w:rFonts w:asciiTheme="majorBidi" w:hAnsiTheme="majorBidi" w:cstheme="majorBidi"/>
          <w:lang w:val="en-US"/>
        </w:rPr>
        <w:t xml:space="preserve"> and </w:t>
      </w:r>
      <w:proofErr w:type="spellStart"/>
      <w:r w:rsidRPr="00693AF8">
        <w:rPr>
          <w:rFonts w:asciiTheme="majorBidi" w:hAnsiTheme="majorBidi" w:cstheme="majorBidi"/>
          <w:lang w:val="en-US"/>
        </w:rPr>
        <w:t>Safieddine</w:t>
      </w:r>
      <w:proofErr w:type="spellEnd"/>
      <w:r w:rsidRPr="00693AF8">
        <w:rPr>
          <w:rFonts w:asciiTheme="majorBidi" w:hAnsiTheme="majorBidi" w:cstheme="majorBidi"/>
          <w:lang w:val="en-US"/>
        </w:rPr>
        <w:t xml:space="preserve">, 2011; Klein, 2002). Therefore, larger boards are associated with higher performance (Cooper, 2008; </w:t>
      </w:r>
      <w:proofErr w:type="spellStart"/>
      <w:r w:rsidRPr="00693AF8">
        <w:rPr>
          <w:rFonts w:asciiTheme="majorBidi" w:hAnsiTheme="majorBidi" w:cstheme="majorBidi"/>
          <w:lang w:val="en-US"/>
        </w:rPr>
        <w:t>Aebi</w:t>
      </w:r>
      <w:proofErr w:type="spellEnd"/>
      <w:r w:rsidRPr="00693AF8">
        <w:rPr>
          <w:rFonts w:asciiTheme="majorBidi" w:hAnsiTheme="majorBidi" w:cstheme="majorBidi"/>
          <w:lang w:val="en-US"/>
        </w:rPr>
        <w:t xml:space="preserve"> et al, 2012). However, the positive effect of larger boards may be offset by problems of communication, coordination and poorer decision-making processes (De Andres and </w:t>
      </w:r>
      <w:proofErr w:type="spellStart"/>
      <w:r w:rsidRPr="00693AF8">
        <w:rPr>
          <w:rFonts w:asciiTheme="majorBidi" w:hAnsiTheme="majorBidi" w:cstheme="majorBidi"/>
          <w:lang w:val="en-US"/>
        </w:rPr>
        <w:t>Vallelado</w:t>
      </w:r>
      <w:proofErr w:type="spellEnd"/>
      <w:r w:rsidRPr="00693AF8">
        <w:rPr>
          <w:rFonts w:asciiTheme="majorBidi" w:hAnsiTheme="majorBidi" w:cstheme="majorBidi"/>
          <w:lang w:val="en-US"/>
        </w:rPr>
        <w:t xml:space="preserve">, 2008; John and </w:t>
      </w:r>
      <w:proofErr w:type="spellStart"/>
      <w:r w:rsidRPr="00693AF8">
        <w:rPr>
          <w:rFonts w:asciiTheme="majorBidi" w:hAnsiTheme="majorBidi" w:cstheme="majorBidi"/>
          <w:lang w:val="en-US"/>
        </w:rPr>
        <w:t>Senbet</w:t>
      </w:r>
      <w:proofErr w:type="spellEnd"/>
      <w:r w:rsidRPr="00693AF8">
        <w:rPr>
          <w:rFonts w:asciiTheme="majorBidi" w:hAnsiTheme="majorBidi" w:cstheme="majorBidi"/>
          <w:lang w:val="en-US"/>
        </w:rPr>
        <w:t xml:space="preserve">, 1998). Regarding the board composition, particularly the proportion of independent members, several studies find a strong connection between the presence of outsiders and bank value (e.g. Black et al, 2006; Ferrero-Ferrero et al 2012; </w:t>
      </w:r>
      <w:proofErr w:type="spellStart"/>
      <w:r w:rsidRPr="00693AF8">
        <w:rPr>
          <w:rFonts w:asciiTheme="majorBidi" w:hAnsiTheme="majorBidi" w:cstheme="majorBidi"/>
          <w:lang w:val="en-US"/>
        </w:rPr>
        <w:t>Beiner</w:t>
      </w:r>
      <w:proofErr w:type="spellEnd"/>
      <w:r w:rsidRPr="00693AF8">
        <w:rPr>
          <w:rFonts w:asciiTheme="majorBidi" w:hAnsiTheme="majorBidi" w:cstheme="majorBidi"/>
          <w:lang w:val="en-US"/>
        </w:rPr>
        <w:t xml:space="preserve"> et al (2006). Boards with a larger proportion of independent directors lead to better monitoring, as well as wider perspectives and expertise (Pearce and Zahra, 1992). However, according to De Andres and </w:t>
      </w:r>
      <w:proofErr w:type="spellStart"/>
      <w:r w:rsidRPr="00693AF8">
        <w:rPr>
          <w:rFonts w:asciiTheme="majorBidi" w:hAnsiTheme="majorBidi" w:cstheme="majorBidi"/>
          <w:lang w:val="en-US"/>
        </w:rPr>
        <w:t>Vallelado</w:t>
      </w:r>
      <w:proofErr w:type="spellEnd"/>
      <w:r w:rsidR="009D41AD">
        <w:rPr>
          <w:rFonts w:asciiTheme="majorBidi" w:hAnsiTheme="majorBidi" w:cstheme="majorBidi"/>
          <w:lang w:val="en-US"/>
        </w:rPr>
        <w:t xml:space="preserve"> </w:t>
      </w:r>
      <w:r w:rsidRPr="00693AF8">
        <w:rPr>
          <w:rFonts w:asciiTheme="majorBidi" w:hAnsiTheme="majorBidi" w:cstheme="majorBidi"/>
          <w:lang w:val="en-US"/>
        </w:rPr>
        <w:t xml:space="preserve">(2008), an excessive proportion of non-executive directors could damage the advisory role of boards since it might prevent bank executives from joining the board. </w:t>
      </w:r>
      <w:proofErr w:type="spellStart"/>
      <w:r w:rsidRPr="00693AF8">
        <w:rPr>
          <w:rFonts w:asciiTheme="majorBidi" w:hAnsiTheme="majorBidi" w:cstheme="majorBidi"/>
          <w:lang w:val="en-US"/>
        </w:rPr>
        <w:t>Yermack</w:t>
      </w:r>
      <w:proofErr w:type="spellEnd"/>
      <w:r w:rsidRPr="00693AF8">
        <w:rPr>
          <w:rFonts w:asciiTheme="majorBidi" w:hAnsiTheme="majorBidi" w:cstheme="majorBidi"/>
          <w:lang w:val="en-US"/>
        </w:rPr>
        <w:t xml:space="preserve"> (1996) and Klein (1998) suggest that a high percentage of independent directors </w:t>
      </w:r>
      <w:proofErr w:type="gramStart"/>
      <w:r w:rsidRPr="00693AF8">
        <w:rPr>
          <w:rFonts w:asciiTheme="majorBidi" w:hAnsiTheme="majorBidi" w:cstheme="majorBidi"/>
          <w:lang w:val="en-US"/>
        </w:rPr>
        <w:t>leads</w:t>
      </w:r>
      <w:proofErr w:type="gramEnd"/>
      <w:r w:rsidRPr="00693AF8">
        <w:rPr>
          <w:rFonts w:asciiTheme="majorBidi" w:hAnsiTheme="majorBidi" w:cstheme="majorBidi"/>
          <w:lang w:val="en-US"/>
        </w:rPr>
        <w:t xml:space="preserve"> to poor performance. The board independence characteristics can also be analyzed by the separation of the roles of board chair and CEO (chief executive officer). Jensen (1993) claims that allowing a CEO to hold a board chair position harms board independence, compromises the strength of the boards’</w:t>
      </w:r>
      <w:r w:rsidR="009D41AD">
        <w:rPr>
          <w:rFonts w:asciiTheme="majorBidi" w:hAnsiTheme="majorBidi" w:cstheme="majorBidi"/>
          <w:lang w:val="en-US"/>
        </w:rPr>
        <w:t xml:space="preserve"> </w:t>
      </w:r>
      <w:r w:rsidRPr="00693AF8">
        <w:rPr>
          <w:rFonts w:asciiTheme="majorBidi" w:hAnsiTheme="majorBidi" w:cstheme="majorBidi"/>
          <w:lang w:val="en-US"/>
        </w:rPr>
        <w:t xml:space="preserve">governance, generates supervisory dysfunction and increases the likelihood of earnings manipulation. In addition, this situation raises agency </w:t>
      </w:r>
      <w:r w:rsidRPr="00693AF8">
        <w:rPr>
          <w:rFonts w:asciiTheme="majorBidi" w:hAnsiTheme="majorBidi" w:cstheme="majorBidi"/>
          <w:lang w:val="en-US"/>
        </w:rPr>
        <w:lastRenderedPageBreak/>
        <w:t xml:space="preserve">problems and decreases firm value. </w:t>
      </w:r>
      <w:proofErr w:type="spellStart"/>
      <w:r w:rsidRPr="00693AF8">
        <w:rPr>
          <w:rFonts w:asciiTheme="majorBidi" w:hAnsiTheme="majorBidi" w:cstheme="majorBidi"/>
          <w:lang w:val="en-US"/>
        </w:rPr>
        <w:t>Rechner</w:t>
      </w:r>
      <w:proofErr w:type="spellEnd"/>
      <w:r w:rsidRPr="00693AF8">
        <w:rPr>
          <w:rFonts w:asciiTheme="majorBidi" w:hAnsiTheme="majorBidi" w:cstheme="majorBidi"/>
          <w:lang w:val="en-US"/>
        </w:rPr>
        <w:t xml:space="preserve"> and Dalton (1991) report that firms with a CEO duality structure consistently outperform firms with a CEO non-duality structure. The issue of the internal functioning of the board and particularly the frequency of board meetings has also been highlighted in corporate governance studies. According to De Andres and </w:t>
      </w:r>
      <w:proofErr w:type="spellStart"/>
      <w:r w:rsidRPr="00693AF8">
        <w:rPr>
          <w:rFonts w:asciiTheme="majorBidi" w:hAnsiTheme="majorBidi" w:cstheme="majorBidi"/>
          <w:lang w:val="en-US"/>
        </w:rPr>
        <w:t>Vallelado</w:t>
      </w:r>
      <w:proofErr w:type="spellEnd"/>
      <w:r w:rsidRPr="00693AF8">
        <w:rPr>
          <w:rFonts w:asciiTheme="majorBidi" w:hAnsiTheme="majorBidi" w:cstheme="majorBidi"/>
          <w:lang w:val="en-US"/>
        </w:rPr>
        <w:t xml:space="preserve"> (2008), the more frequent the meetings, the closer the control over managers, the more relevant the advisory role, factors that lead to a positive impact on performance. The number of internal committees in the board has also been analyzed in the literature. The board of directors can establish board committees (nominating committee, remuneration committee, audit committee, risk monitoring committee, and so on) to support its function and to conduct independent monitoring of the firm. Klein (1998) suggests that because of the need for</w:t>
      </w:r>
      <w:r w:rsidR="009D41AD">
        <w:rPr>
          <w:rFonts w:asciiTheme="majorBidi" w:hAnsiTheme="majorBidi" w:cstheme="majorBidi"/>
          <w:lang w:val="en-US"/>
        </w:rPr>
        <w:t xml:space="preserve"> </w:t>
      </w:r>
      <w:r w:rsidRPr="00693AF8">
        <w:rPr>
          <w:rFonts w:asciiTheme="majorBidi" w:hAnsiTheme="majorBidi" w:cstheme="majorBidi"/>
          <w:lang w:val="en-US"/>
        </w:rPr>
        <w:t>expert-provided information about the firm’s activities, a number of committees are created to assist board in the decision making process.</w:t>
      </w:r>
    </w:p>
    <w:p w:rsidR="005F04A8" w:rsidRDefault="005F04A8" w:rsidP="006632F1">
      <w:pPr>
        <w:spacing w:line="240" w:lineRule="exact"/>
        <w:ind w:right="-28" w:firstLine="244"/>
        <w:jc w:val="both"/>
        <w:rPr>
          <w:rFonts w:asciiTheme="majorBidi" w:hAnsiTheme="majorBidi" w:cstheme="majorBidi"/>
          <w:b/>
          <w:bCs/>
          <w:lang w:val="en-US"/>
        </w:rPr>
      </w:pPr>
    </w:p>
    <w:p w:rsidR="00693AF8" w:rsidRPr="005F04A8" w:rsidRDefault="005F04A8" w:rsidP="005F04A8">
      <w:pPr>
        <w:spacing w:line="240" w:lineRule="exact"/>
        <w:ind w:right="-28"/>
        <w:jc w:val="both"/>
        <w:rPr>
          <w:rFonts w:asciiTheme="majorBidi" w:hAnsiTheme="majorBidi" w:cstheme="majorBidi"/>
          <w:lang w:val="en-US"/>
        </w:rPr>
      </w:pPr>
      <w:r w:rsidRPr="005F04A8">
        <w:rPr>
          <w:rFonts w:asciiTheme="majorBidi" w:hAnsiTheme="majorBidi" w:cstheme="majorBidi"/>
          <w:lang w:val="en-US"/>
        </w:rPr>
        <w:t xml:space="preserve">2.2. </w:t>
      </w:r>
      <w:r w:rsidR="00693AF8" w:rsidRPr="005F04A8">
        <w:rPr>
          <w:rFonts w:asciiTheme="majorBidi" w:hAnsiTheme="majorBidi" w:cstheme="majorBidi"/>
          <w:lang w:val="en-US"/>
        </w:rPr>
        <w:t xml:space="preserve">Risk </w:t>
      </w:r>
      <w:r w:rsidR="006632F1" w:rsidRPr="005F04A8">
        <w:rPr>
          <w:rFonts w:asciiTheme="majorBidi" w:hAnsiTheme="majorBidi" w:cstheme="majorBidi"/>
          <w:lang w:val="en-US"/>
        </w:rPr>
        <w:t>M</w:t>
      </w:r>
      <w:r w:rsidR="00693AF8" w:rsidRPr="005F04A8">
        <w:rPr>
          <w:rFonts w:asciiTheme="majorBidi" w:hAnsiTheme="majorBidi" w:cstheme="majorBidi"/>
          <w:lang w:val="en-US"/>
        </w:rPr>
        <w:t>anagement</w:t>
      </w:r>
    </w:p>
    <w:p w:rsidR="005F04A8" w:rsidRDefault="005F04A8" w:rsidP="006632F1">
      <w:pPr>
        <w:spacing w:line="240" w:lineRule="exact"/>
        <w:ind w:right="-28" w:firstLine="244"/>
        <w:jc w:val="both"/>
        <w:rPr>
          <w:rFonts w:asciiTheme="majorBidi" w:hAnsiTheme="majorBidi" w:cstheme="majorBidi"/>
          <w:lang w:val="en-US"/>
        </w:rPr>
      </w:pPr>
    </w:p>
    <w:p w:rsidR="00693AF8" w:rsidRPr="00693AF8" w:rsidRDefault="00693AF8" w:rsidP="006632F1">
      <w:pPr>
        <w:spacing w:line="240" w:lineRule="exact"/>
        <w:ind w:right="-28" w:firstLine="244"/>
        <w:jc w:val="both"/>
        <w:rPr>
          <w:rFonts w:asciiTheme="majorBidi" w:hAnsiTheme="majorBidi" w:cstheme="majorBidi"/>
          <w:lang w:val="en-US"/>
        </w:rPr>
      </w:pPr>
      <w:r w:rsidRPr="00693AF8">
        <w:rPr>
          <w:rFonts w:asciiTheme="majorBidi" w:hAnsiTheme="majorBidi" w:cstheme="majorBidi"/>
          <w:lang w:val="en-US"/>
        </w:rPr>
        <w:t>For effective risk management at the bank level, the board of directors has to establish a risk management division that is independent from the other units of the bank (</w:t>
      </w:r>
      <w:proofErr w:type="spellStart"/>
      <w:r w:rsidRPr="00693AF8">
        <w:rPr>
          <w:rFonts w:asciiTheme="majorBidi" w:hAnsiTheme="majorBidi" w:cstheme="majorBidi"/>
          <w:lang w:val="en-US"/>
        </w:rPr>
        <w:t>Chapra</w:t>
      </w:r>
      <w:proofErr w:type="spellEnd"/>
      <w:r w:rsidRPr="00693AF8">
        <w:rPr>
          <w:rFonts w:asciiTheme="majorBidi" w:hAnsiTheme="majorBidi" w:cstheme="majorBidi"/>
          <w:lang w:val="en-US"/>
        </w:rPr>
        <w:t xml:space="preserve"> and Ahmed, 2002). This committee with independent members has as mission to identify, measure, monitor and control the various types of risks (market risks, credit risks, liquidity risks, operational risks, legal risks, compliance risks, reputation risks) undertaken by the Islamic bank (</w:t>
      </w:r>
      <w:proofErr w:type="spellStart"/>
      <w:r w:rsidRPr="00693AF8">
        <w:rPr>
          <w:rFonts w:asciiTheme="majorBidi" w:hAnsiTheme="majorBidi" w:cstheme="majorBidi"/>
          <w:lang w:val="en-US"/>
        </w:rPr>
        <w:t>Darmdi</w:t>
      </w:r>
      <w:proofErr w:type="spellEnd"/>
      <w:r w:rsidRPr="00693AF8">
        <w:rPr>
          <w:rFonts w:asciiTheme="majorBidi" w:hAnsiTheme="majorBidi" w:cstheme="majorBidi"/>
          <w:lang w:val="en-US"/>
        </w:rPr>
        <w:t xml:space="preserve">, 201; </w:t>
      </w:r>
      <w:proofErr w:type="spellStart"/>
      <w:r w:rsidRPr="00693AF8">
        <w:rPr>
          <w:rFonts w:asciiTheme="majorBidi" w:hAnsiTheme="majorBidi" w:cstheme="majorBidi"/>
          <w:lang w:val="en-US"/>
        </w:rPr>
        <w:t>Dedu</w:t>
      </w:r>
      <w:proofErr w:type="spellEnd"/>
      <w:r w:rsidRPr="00693AF8">
        <w:rPr>
          <w:rFonts w:asciiTheme="majorBidi" w:hAnsiTheme="majorBidi" w:cstheme="majorBidi"/>
          <w:lang w:val="en-US"/>
        </w:rPr>
        <w:t xml:space="preserve"> and </w:t>
      </w:r>
      <w:proofErr w:type="spellStart"/>
      <w:r w:rsidRPr="00693AF8">
        <w:rPr>
          <w:rFonts w:asciiTheme="majorBidi" w:hAnsiTheme="majorBidi" w:cstheme="majorBidi"/>
          <w:lang w:val="en-US"/>
        </w:rPr>
        <w:t>Chitan</w:t>
      </w:r>
      <w:proofErr w:type="spellEnd"/>
      <w:r w:rsidRPr="00693AF8">
        <w:rPr>
          <w:rFonts w:asciiTheme="majorBidi" w:hAnsiTheme="majorBidi" w:cstheme="majorBidi"/>
          <w:lang w:val="en-US"/>
        </w:rPr>
        <w:t xml:space="preserve">, 2013). The existence of a risk management committee (RMC) is expected to improve risk management and to increase bank value. However, this result is not confirmed in the literature. </w:t>
      </w:r>
      <w:proofErr w:type="spellStart"/>
      <w:r w:rsidRPr="00693AF8">
        <w:rPr>
          <w:rFonts w:asciiTheme="majorBidi" w:hAnsiTheme="majorBidi" w:cstheme="majorBidi"/>
          <w:lang w:val="en-US"/>
        </w:rPr>
        <w:t>Aebi</w:t>
      </w:r>
      <w:proofErr w:type="spellEnd"/>
      <w:r w:rsidRPr="00693AF8">
        <w:rPr>
          <w:rFonts w:asciiTheme="majorBidi" w:hAnsiTheme="majorBidi" w:cstheme="majorBidi"/>
          <w:lang w:val="en-US"/>
        </w:rPr>
        <w:t xml:space="preserve"> et al (2012) found a negative influence of RMC and ROE.</w:t>
      </w:r>
    </w:p>
    <w:p w:rsidR="005F04A8" w:rsidRDefault="005F04A8" w:rsidP="006632F1">
      <w:pPr>
        <w:spacing w:line="240" w:lineRule="exact"/>
        <w:ind w:right="-28" w:firstLine="244"/>
        <w:jc w:val="both"/>
        <w:rPr>
          <w:rFonts w:asciiTheme="majorBidi" w:hAnsiTheme="majorBidi" w:cstheme="majorBidi"/>
          <w:b/>
          <w:bCs/>
          <w:lang w:val="en-US"/>
        </w:rPr>
      </w:pPr>
    </w:p>
    <w:p w:rsidR="00693AF8" w:rsidRPr="005F04A8" w:rsidRDefault="005F04A8" w:rsidP="005F04A8">
      <w:pPr>
        <w:spacing w:line="240" w:lineRule="exact"/>
        <w:ind w:right="-28"/>
        <w:jc w:val="both"/>
        <w:rPr>
          <w:rFonts w:asciiTheme="majorBidi" w:hAnsiTheme="majorBidi" w:cstheme="majorBidi"/>
          <w:lang w:val="en-US"/>
        </w:rPr>
      </w:pPr>
      <w:r w:rsidRPr="005F04A8">
        <w:rPr>
          <w:rFonts w:asciiTheme="majorBidi" w:hAnsiTheme="majorBidi" w:cstheme="majorBidi"/>
          <w:lang w:val="en-US"/>
        </w:rPr>
        <w:t xml:space="preserve">2.3. </w:t>
      </w:r>
      <w:r w:rsidR="00693AF8" w:rsidRPr="005F04A8">
        <w:rPr>
          <w:rFonts w:asciiTheme="majorBidi" w:hAnsiTheme="majorBidi" w:cstheme="majorBidi"/>
          <w:lang w:val="en-US"/>
        </w:rPr>
        <w:t xml:space="preserve">Transparency and </w:t>
      </w:r>
      <w:r w:rsidR="006632F1" w:rsidRPr="005F04A8">
        <w:rPr>
          <w:rFonts w:asciiTheme="majorBidi" w:hAnsiTheme="majorBidi" w:cstheme="majorBidi"/>
          <w:lang w:val="en-US"/>
        </w:rPr>
        <w:t>D</w:t>
      </w:r>
      <w:r w:rsidR="00693AF8" w:rsidRPr="005F04A8">
        <w:rPr>
          <w:rFonts w:asciiTheme="majorBidi" w:hAnsiTheme="majorBidi" w:cstheme="majorBidi"/>
          <w:lang w:val="en-US"/>
        </w:rPr>
        <w:t>isclosure</w:t>
      </w:r>
    </w:p>
    <w:p w:rsidR="005F04A8" w:rsidRDefault="005F04A8" w:rsidP="006632F1">
      <w:pPr>
        <w:spacing w:line="240" w:lineRule="exact"/>
        <w:ind w:right="-28" w:firstLine="244"/>
        <w:jc w:val="both"/>
        <w:rPr>
          <w:rFonts w:asciiTheme="majorBidi" w:hAnsiTheme="majorBidi" w:cstheme="majorBidi"/>
          <w:lang w:val="en-US"/>
        </w:rPr>
      </w:pPr>
    </w:p>
    <w:p w:rsidR="00693AF8" w:rsidRPr="00693AF8" w:rsidRDefault="00693AF8" w:rsidP="006632F1">
      <w:pPr>
        <w:spacing w:line="240" w:lineRule="exact"/>
        <w:ind w:right="-28" w:firstLine="244"/>
        <w:jc w:val="both"/>
        <w:rPr>
          <w:rFonts w:asciiTheme="majorBidi" w:hAnsiTheme="majorBidi" w:cstheme="majorBidi"/>
          <w:lang w:val="en-US"/>
        </w:rPr>
      </w:pPr>
      <w:r w:rsidRPr="00693AF8">
        <w:rPr>
          <w:rFonts w:asciiTheme="majorBidi" w:hAnsiTheme="majorBidi" w:cstheme="majorBidi"/>
          <w:lang w:val="en-US"/>
        </w:rPr>
        <w:t>Pillar 3 of Basle 2 encourages greater disclosure by banks to strengthen market discipline and accordingly to promote good governance. In addition, in Islamic economy, accountability is expected to produce a true and fair disclosure and transparency (Abu-</w:t>
      </w:r>
      <w:proofErr w:type="spellStart"/>
      <w:r w:rsidRPr="00693AF8">
        <w:rPr>
          <w:rFonts w:asciiTheme="majorBidi" w:hAnsiTheme="majorBidi" w:cstheme="majorBidi"/>
          <w:lang w:val="en-US"/>
        </w:rPr>
        <w:t>Tapanjeh</w:t>
      </w:r>
      <w:proofErr w:type="spellEnd"/>
      <w:r w:rsidRPr="00693AF8">
        <w:rPr>
          <w:rFonts w:asciiTheme="majorBidi" w:hAnsiTheme="majorBidi" w:cstheme="majorBidi"/>
          <w:lang w:val="en-US"/>
        </w:rPr>
        <w:t>, 2006). The disclosure of corporate governance practices, board remunerations, ownership structure, risk management policies, accounting standard followed by banks and the disclosure of corporate social responsibility reduce information asymmetry and facilitate monitoring of management by the stakeholders (Klein et al 2005). Several studies find that detailed information disclosure reduces capital cost and has a positive impact on firm performance (Byun et al 2008; Cheung et al 2007). Another important point involved in disclosure for Islamic bank is to provide the users with adequate information about Zakat (in terms of Zakat base, beneficiaries, and so on), which is the third pillar of Islam. Islamic banks are required to pay Zakat to comply with their regulatory environment and in some times on behalf of their shareholders (</w:t>
      </w:r>
      <w:proofErr w:type="spellStart"/>
      <w:r w:rsidRPr="00693AF8">
        <w:rPr>
          <w:rFonts w:asciiTheme="majorBidi" w:hAnsiTheme="majorBidi" w:cstheme="majorBidi"/>
          <w:lang w:val="en-US"/>
        </w:rPr>
        <w:t>Vinnicombe</w:t>
      </w:r>
      <w:proofErr w:type="spellEnd"/>
      <w:r w:rsidRPr="00693AF8">
        <w:rPr>
          <w:rFonts w:asciiTheme="majorBidi" w:hAnsiTheme="majorBidi" w:cstheme="majorBidi"/>
          <w:lang w:val="en-US"/>
        </w:rPr>
        <w:t>, 2010).</w:t>
      </w:r>
    </w:p>
    <w:p w:rsidR="005F04A8" w:rsidRDefault="005F04A8" w:rsidP="006632F1">
      <w:pPr>
        <w:spacing w:line="240" w:lineRule="exact"/>
        <w:ind w:right="-28" w:firstLine="244"/>
        <w:jc w:val="both"/>
        <w:rPr>
          <w:rFonts w:asciiTheme="majorBidi" w:hAnsiTheme="majorBidi" w:cstheme="majorBidi"/>
          <w:b/>
          <w:bCs/>
          <w:lang w:val="en-US"/>
        </w:rPr>
      </w:pPr>
    </w:p>
    <w:p w:rsidR="00693AF8" w:rsidRPr="005F04A8" w:rsidRDefault="005F04A8" w:rsidP="005F04A8">
      <w:pPr>
        <w:spacing w:line="240" w:lineRule="exact"/>
        <w:ind w:right="-28"/>
        <w:jc w:val="both"/>
        <w:rPr>
          <w:rFonts w:asciiTheme="majorBidi" w:hAnsiTheme="majorBidi" w:cstheme="majorBidi"/>
          <w:lang w:val="en-US"/>
        </w:rPr>
      </w:pPr>
      <w:r w:rsidRPr="005F04A8">
        <w:rPr>
          <w:rFonts w:asciiTheme="majorBidi" w:hAnsiTheme="majorBidi" w:cstheme="majorBidi"/>
          <w:lang w:val="en-US"/>
        </w:rPr>
        <w:t xml:space="preserve">2.4. </w:t>
      </w:r>
      <w:r w:rsidR="00693AF8" w:rsidRPr="005F04A8">
        <w:rPr>
          <w:rFonts w:asciiTheme="majorBidi" w:hAnsiTheme="majorBidi" w:cstheme="majorBidi"/>
          <w:lang w:val="en-US"/>
        </w:rPr>
        <w:t xml:space="preserve">Audit </w:t>
      </w:r>
      <w:r w:rsidR="006632F1" w:rsidRPr="005F04A8">
        <w:rPr>
          <w:rFonts w:asciiTheme="majorBidi" w:hAnsiTheme="majorBidi" w:cstheme="majorBidi"/>
          <w:lang w:val="en-US"/>
        </w:rPr>
        <w:t>C</w:t>
      </w:r>
      <w:r w:rsidR="00693AF8" w:rsidRPr="005F04A8">
        <w:rPr>
          <w:rFonts w:asciiTheme="majorBidi" w:hAnsiTheme="majorBidi" w:cstheme="majorBidi"/>
          <w:lang w:val="en-US"/>
        </w:rPr>
        <w:t>ommittee</w:t>
      </w:r>
    </w:p>
    <w:p w:rsidR="005F04A8" w:rsidRDefault="005F04A8" w:rsidP="006632F1">
      <w:pPr>
        <w:spacing w:line="240" w:lineRule="exact"/>
        <w:ind w:right="-28" w:firstLine="244"/>
        <w:jc w:val="both"/>
        <w:rPr>
          <w:rFonts w:asciiTheme="majorBidi" w:hAnsiTheme="majorBidi" w:cstheme="majorBidi"/>
          <w:lang w:val="en-US"/>
        </w:rPr>
      </w:pPr>
    </w:p>
    <w:p w:rsidR="00693AF8" w:rsidRPr="00693AF8" w:rsidRDefault="00693AF8" w:rsidP="006632F1">
      <w:pPr>
        <w:spacing w:line="240" w:lineRule="exact"/>
        <w:ind w:right="-28" w:firstLine="244"/>
        <w:jc w:val="both"/>
        <w:rPr>
          <w:rFonts w:asciiTheme="majorBidi" w:hAnsiTheme="majorBidi" w:cstheme="majorBidi"/>
          <w:lang w:val="en-US"/>
        </w:rPr>
      </w:pPr>
      <w:r w:rsidRPr="00693AF8">
        <w:rPr>
          <w:rFonts w:asciiTheme="majorBidi" w:hAnsiTheme="majorBidi" w:cstheme="majorBidi"/>
          <w:lang w:val="en-US"/>
        </w:rPr>
        <w:t>The audit committee (AC) is one of the most important governance mechanisms that is responsible to ensure that a bank produces relevant, adequate and credible information which is released in a timely manner to shareholders, creditors, investors and other stakeholders (Sarkar et al. 2012). The AC has many responsibilities. It supports the position of the internal audit function and submits management’s irregularities and other relevant managerial and financial issues to the board of directors (</w:t>
      </w:r>
      <w:proofErr w:type="spellStart"/>
      <w:r w:rsidRPr="00693AF8">
        <w:rPr>
          <w:rFonts w:asciiTheme="majorBidi" w:hAnsiTheme="majorBidi" w:cstheme="majorBidi"/>
          <w:lang w:val="en-US"/>
        </w:rPr>
        <w:t>Pathan</w:t>
      </w:r>
      <w:proofErr w:type="spellEnd"/>
      <w:r w:rsidRPr="00693AF8">
        <w:rPr>
          <w:rFonts w:asciiTheme="majorBidi" w:hAnsiTheme="majorBidi" w:cstheme="majorBidi"/>
          <w:lang w:val="en-US"/>
        </w:rPr>
        <w:t xml:space="preserve"> et al. 2007). It is also responsible for enhancing and maintaining the internal auditors’ independence in order to enable them to carry out their duties. In addition, according to Sarkar et al. (2012) the AC ensures that the external auditors receive all the necessary information that are required to carry out the auditor process independently and effectively and that the functioning of the external auditors is not subject to the pulls and pressures of the inside management. To play these roles, independence, size and financial expertise are very important critical issues for this committee. In most countries, the regulations require the AC to have a minimum of two-thirds of its members as independent directors. Banks that have larger ACs are committed to seeing that a quality accounting process is in place. In consequence, a larger AC could lead </w:t>
      </w:r>
      <w:r w:rsidRPr="00693AF8">
        <w:rPr>
          <w:rFonts w:asciiTheme="majorBidi" w:hAnsiTheme="majorBidi" w:cstheme="majorBidi"/>
          <w:lang w:val="en-US"/>
        </w:rPr>
        <w:lastRenderedPageBreak/>
        <w:t xml:space="preserve">to a higher level of transparency, thus providing strong monitoring (Anderson et al. 2004). It is also mandatory that the committee members, or at least one of them, should have the financial or accounting expertise in order to understand the technical and control issues related to internal and external audit. In the literature, the relation between audit-related governance factors and firm performance is mixed. Klein (2002) finds a negative association between earnings management and audit-committee independence. Frankel al. (2002) also </w:t>
      </w:r>
      <w:proofErr w:type="gramStart"/>
      <w:r w:rsidRPr="00693AF8">
        <w:rPr>
          <w:rFonts w:asciiTheme="majorBidi" w:hAnsiTheme="majorBidi" w:cstheme="majorBidi"/>
          <w:lang w:val="en-US"/>
        </w:rPr>
        <w:t>reveal</w:t>
      </w:r>
      <w:proofErr w:type="gramEnd"/>
      <w:r w:rsidRPr="00693AF8">
        <w:rPr>
          <w:rFonts w:asciiTheme="majorBidi" w:hAnsiTheme="majorBidi" w:cstheme="majorBidi"/>
          <w:lang w:val="en-US"/>
        </w:rPr>
        <w:t xml:space="preserve"> the same findings. However, the study of Brown and </w:t>
      </w:r>
      <w:proofErr w:type="spellStart"/>
      <w:r w:rsidRPr="00693AF8">
        <w:rPr>
          <w:rFonts w:asciiTheme="majorBidi" w:hAnsiTheme="majorBidi" w:cstheme="majorBidi"/>
          <w:lang w:val="en-US"/>
        </w:rPr>
        <w:t>Claylor</w:t>
      </w:r>
      <w:proofErr w:type="spellEnd"/>
      <w:r w:rsidRPr="00693AF8">
        <w:rPr>
          <w:rFonts w:asciiTheme="majorBidi" w:hAnsiTheme="majorBidi" w:cstheme="majorBidi"/>
          <w:lang w:val="en-US"/>
        </w:rPr>
        <w:t xml:space="preserve"> (2004) indicates that independent audit committees are positively related to dividend yield, but not to operating performance or firm valuation.</w:t>
      </w:r>
    </w:p>
    <w:p w:rsidR="005F04A8" w:rsidRDefault="005F04A8" w:rsidP="006632F1">
      <w:pPr>
        <w:spacing w:line="240" w:lineRule="exact"/>
        <w:ind w:right="-28" w:firstLine="244"/>
        <w:jc w:val="both"/>
        <w:rPr>
          <w:rFonts w:asciiTheme="majorBidi" w:hAnsiTheme="majorBidi" w:cstheme="majorBidi"/>
          <w:b/>
          <w:bCs/>
          <w:lang w:val="en-US"/>
        </w:rPr>
      </w:pPr>
    </w:p>
    <w:p w:rsidR="00693AF8" w:rsidRPr="005F04A8" w:rsidRDefault="005F04A8" w:rsidP="005F04A8">
      <w:pPr>
        <w:spacing w:line="240" w:lineRule="exact"/>
        <w:ind w:right="-28"/>
        <w:jc w:val="both"/>
        <w:rPr>
          <w:rFonts w:asciiTheme="majorBidi" w:hAnsiTheme="majorBidi" w:cstheme="majorBidi"/>
          <w:lang w:val="en-US"/>
        </w:rPr>
      </w:pPr>
      <w:r w:rsidRPr="005F04A8">
        <w:rPr>
          <w:rFonts w:asciiTheme="majorBidi" w:hAnsiTheme="majorBidi" w:cstheme="majorBidi"/>
          <w:lang w:val="en-US"/>
        </w:rPr>
        <w:t xml:space="preserve">2.5. </w:t>
      </w:r>
      <w:proofErr w:type="spellStart"/>
      <w:r w:rsidR="00693AF8" w:rsidRPr="005F04A8">
        <w:rPr>
          <w:rFonts w:asciiTheme="majorBidi" w:hAnsiTheme="majorBidi" w:cstheme="majorBidi"/>
          <w:lang w:val="en-US"/>
        </w:rPr>
        <w:t>Sharia</w:t>
      </w:r>
      <w:r w:rsidRPr="005F04A8">
        <w:rPr>
          <w:rFonts w:asciiTheme="majorBidi" w:hAnsiTheme="majorBidi" w:cstheme="majorBidi"/>
          <w:lang w:val="en-US"/>
        </w:rPr>
        <w:t>h</w:t>
      </w:r>
      <w:proofErr w:type="spellEnd"/>
      <w:r w:rsidR="00693AF8" w:rsidRPr="005F04A8">
        <w:rPr>
          <w:rFonts w:asciiTheme="majorBidi" w:hAnsiTheme="majorBidi" w:cstheme="majorBidi"/>
          <w:lang w:val="en-US"/>
        </w:rPr>
        <w:t xml:space="preserve"> </w:t>
      </w:r>
      <w:r w:rsidR="006632F1" w:rsidRPr="005F04A8">
        <w:rPr>
          <w:rFonts w:asciiTheme="majorBidi" w:hAnsiTheme="majorBidi" w:cstheme="majorBidi"/>
          <w:lang w:val="en-US"/>
        </w:rPr>
        <w:t>S</w:t>
      </w:r>
      <w:r w:rsidR="00693AF8" w:rsidRPr="005F04A8">
        <w:rPr>
          <w:rFonts w:asciiTheme="majorBidi" w:hAnsiTheme="majorBidi" w:cstheme="majorBidi"/>
          <w:lang w:val="en-US"/>
        </w:rPr>
        <w:t xml:space="preserve">upervisory </w:t>
      </w:r>
      <w:r w:rsidR="006632F1" w:rsidRPr="005F04A8">
        <w:rPr>
          <w:rFonts w:asciiTheme="majorBidi" w:hAnsiTheme="majorBidi" w:cstheme="majorBidi"/>
          <w:lang w:val="en-US"/>
        </w:rPr>
        <w:t>B</w:t>
      </w:r>
      <w:r w:rsidR="00693AF8" w:rsidRPr="005F04A8">
        <w:rPr>
          <w:rFonts w:asciiTheme="majorBidi" w:hAnsiTheme="majorBidi" w:cstheme="majorBidi"/>
          <w:lang w:val="en-US"/>
        </w:rPr>
        <w:t>oard (SSB)</w:t>
      </w:r>
    </w:p>
    <w:p w:rsidR="005F04A8" w:rsidRDefault="005F04A8" w:rsidP="006632F1">
      <w:pPr>
        <w:spacing w:line="240" w:lineRule="exact"/>
        <w:ind w:right="-28" w:firstLine="244"/>
        <w:jc w:val="both"/>
        <w:rPr>
          <w:rFonts w:asciiTheme="majorBidi" w:hAnsiTheme="majorBidi" w:cstheme="majorBidi"/>
          <w:lang w:val="en-US"/>
        </w:rPr>
      </w:pPr>
    </w:p>
    <w:p w:rsidR="00693AF8" w:rsidRPr="00693AF8" w:rsidRDefault="00693AF8" w:rsidP="006632F1">
      <w:pPr>
        <w:spacing w:line="240" w:lineRule="exact"/>
        <w:ind w:right="-28" w:firstLine="244"/>
        <w:jc w:val="both"/>
        <w:rPr>
          <w:rFonts w:asciiTheme="majorBidi" w:hAnsiTheme="majorBidi" w:cstheme="majorBidi"/>
          <w:lang w:val="en-US"/>
        </w:rPr>
      </w:pPr>
      <w:r w:rsidRPr="00693AF8">
        <w:rPr>
          <w:rFonts w:asciiTheme="majorBidi" w:hAnsiTheme="majorBidi" w:cstheme="majorBidi"/>
          <w:lang w:val="en-US"/>
        </w:rPr>
        <w:t xml:space="preserve">Each Islamic financial institution must institute a supervisory board called the Sharia supervisory board (SSB), which acts as an additional layer of governance. The first role of SSB is to ensure that banks operate in accordance with Sharia law. In addition, according to Hassan and </w:t>
      </w:r>
      <w:proofErr w:type="spellStart"/>
      <w:r w:rsidRPr="00693AF8">
        <w:rPr>
          <w:rFonts w:asciiTheme="majorBidi" w:hAnsiTheme="majorBidi" w:cstheme="majorBidi"/>
          <w:lang w:val="en-US"/>
        </w:rPr>
        <w:t>Mollah</w:t>
      </w:r>
      <w:proofErr w:type="spellEnd"/>
      <w:r w:rsidRPr="00693AF8">
        <w:rPr>
          <w:rFonts w:asciiTheme="majorBidi" w:hAnsiTheme="majorBidi" w:cstheme="majorBidi"/>
          <w:lang w:val="en-US"/>
        </w:rPr>
        <w:t xml:space="preserve"> (2012), SSB acts as an independent control mechanism in restraining the board of directors or other governance agents from engaging in excessive risk taking. Further, the SSB as an internal governance mechanism would encourage management to be transparent, including in corporate governance disclosures. </w:t>
      </w:r>
      <w:proofErr w:type="spellStart"/>
      <w:r w:rsidRPr="00693AF8">
        <w:rPr>
          <w:rFonts w:asciiTheme="majorBidi" w:hAnsiTheme="majorBidi" w:cstheme="majorBidi"/>
          <w:lang w:val="en-US"/>
        </w:rPr>
        <w:t>Farook</w:t>
      </w:r>
      <w:proofErr w:type="spellEnd"/>
      <w:r w:rsidRPr="00693AF8">
        <w:rPr>
          <w:rFonts w:asciiTheme="majorBidi" w:hAnsiTheme="majorBidi" w:cstheme="majorBidi"/>
          <w:lang w:val="en-US"/>
        </w:rPr>
        <w:t xml:space="preserve"> et al (2011) in investigating the determinants of corporate social responsibility disclosures of Islamic banks find that the characteristics of the SSB influence the level of social disclosure. Like the external auditors, the SSB acts as independent reporters on the operations of the bank. It is not subject to instructions and influences by management, the board of directors, or shareholders (</w:t>
      </w:r>
      <w:proofErr w:type="spellStart"/>
      <w:r w:rsidRPr="00693AF8">
        <w:rPr>
          <w:rFonts w:asciiTheme="majorBidi" w:hAnsiTheme="majorBidi" w:cstheme="majorBidi"/>
          <w:lang w:val="en-US"/>
        </w:rPr>
        <w:t>Nienhaus</w:t>
      </w:r>
      <w:proofErr w:type="spellEnd"/>
      <w:r w:rsidRPr="00693AF8">
        <w:rPr>
          <w:rFonts w:asciiTheme="majorBidi" w:hAnsiTheme="majorBidi" w:cstheme="majorBidi"/>
          <w:lang w:val="en-US"/>
        </w:rPr>
        <w:t>, 2007). To improve the function of this board, the AAOIFI (2010) has published a set of governance standards related to the composition and role of the SSB (1). For instance, each board must be composed of at least three members. The board must produce an annual report, which must be published with the bank’s financial statements (</w:t>
      </w:r>
      <w:proofErr w:type="spellStart"/>
      <w:r w:rsidRPr="00693AF8">
        <w:rPr>
          <w:rFonts w:asciiTheme="majorBidi" w:hAnsiTheme="majorBidi" w:cstheme="majorBidi"/>
          <w:lang w:val="en-US"/>
        </w:rPr>
        <w:t>Vinnicombe</w:t>
      </w:r>
      <w:proofErr w:type="spellEnd"/>
      <w:r w:rsidRPr="00693AF8">
        <w:rPr>
          <w:rFonts w:asciiTheme="majorBidi" w:hAnsiTheme="majorBidi" w:cstheme="majorBidi"/>
          <w:lang w:val="en-US"/>
        </w:rPr>
        <w:t>, 2010). However, the absence of mandatory implementation of such standards across the industry, the roles and responsibilities of the SSB vary from a bank to another. Since, the role of SSB is limited to reviewing the bank’s contracts before their implementation (ex ante), the AAOIFI proposed for banks to install a type of internal audit function known as the internal Sharia review (ISR). This structure verifies the implementation of the contract (ex post) and the SSB will tend to depend on the findings of ISR to issue their report to the shareholders.</w:t>
      </w:r>
    </w:p>
    <w:p w:rsidR="005F04A8" w:rsidRDefault="005F04A8" w:rsidP="006632F1">
      <w:pPr>
        <w:spacing w:line="240" w:lineRule="exact"/>
        <w:ind w:right="-28" w:firstLine="244"/>
        <w:jc w:val="both"/>
        <w:rPr>
          <w:rFonts w:asciiTheme="majorBidi" w:hAnsiTheme="majorBidi" w:cstheme="majorBidi"/>
          <w:b/>
          <w:bCs/>
          <w:lang w:val="en-US"/>
        </w:rPr>
      </w:pPr>
    </w:p>
    <w:p w:rsidR="00693AF8" w:rsidRPr="005F04A8" w:rsidRDefault="005F04A8" w:rsidP="005F04A8">
      <w:pPr>
        <w:spacing w:line="240" w:lineRule="exact"/>
        <w:ind w:right="-28"/>
        <w:jc w:val="both"/>
        <w:rPr>
          <w:rFonts w:asciiTheme="majorBidi" w:hAnsiTheme="majorBidi" w:cstheme="majorBidi"/>
          <w:lang w:val="en-US"/>
        </w:rPr>
      </w:pPr>
      <w:r w:rsidRPr="005F04A8">
        <w:rPr>
          <w:rFonts w:asciiTheme="majorBidi" w:hAnsiTheme="majorBidi" w:cstheme="majorBidi"/>
          <w:lang w:val="en-US"/>
        </w:rPr>
        <w:t xml:space="preserve">2.6. </w:t>
      </w:r>
      <w:r w:rsidR="00693AF8" w:rsidRPr="005F04A8">
        <w:rPr>
          <w:rFonts w:asciiTheme="majorBidi" w:hAnsiTheme="majorBidi" w:cstheme="majorBidi"/>
          <w:lang w:val="en-US"/>
        </w:rPr>
        <w:t>Investment account holders (IAHs)</w:t>
      </w:r>
    </w:p>
    <w:p w:rsidR="005F04A8" w:rsidRDefault="005F04A8" w:rsidP="005F04A8">
      <w:pPr>
        <w:spacing w:line="240" w:lineRule="exact"/>
        <w:ind w:right="-28" w:firstLine="244"/>
        <w:jc w:val="both"/>
        <w:rPr>
          <w:rFonts w:asciiTheme="majorBidi" w:hAnsiTheme="majorBidi" w:cstheme="majorBidi"/>
          <w:lang w:val="en-US"/>
        </w:rPr>
      </w:pPr>
    </w:p>
    <w:p w:rsidR="00693AF8" w:rsidRPr="00693AF8" w:rsidRDefault="00693AF8" w:rsidP="006632F1">
      <w:pPr>
        <w:spacing w:line="240" w:lineRule="exact"/>
        <w:ind w:right="-28" w:firstLine="244"/>
        <w:jc w:val="both"/>
        <w:rPr>
          <w:rFonts w:asciiTheme="majorBidi" w:hAnsiTheme="majorBidi" w:cstheme="majorBidi"/>
          <w:lang w:val="en-US"/>
        </w:rPr>
      </w:pPr>
      <w:r w:rsidRPr="00693AF8">
        <w:rPr>
          <w:rFonts w:asciiTheme="majorBidi" w:hAnsiTheme="majorBidi" w:cstheme="majorBidi"/>
          <w:lang w:val="en-US"/>
        </w:rPr>
        <w:t>To mobilize funds from customers, Islamic banks call for contracts based on equity participation, profit sharing (</w:t>
      </w:r>
      <w:proofErr w:type="spellStart"/>
      <w:r w:rsidRPr="00693AF8">
        <w:rPr>
          <w:rFonts w:asciiTheme="majorBidi" w:hAnsiTheme="majorBidi" w:cstheme="majorBidi"/>
          <w:lang w:val="en-US"/>
        </w:rPr>
        <w:t>Mudharabah</w:t>
      </w:r>
      <w:proofErr w:type="spellEnd"/>
      <w:r w:rsidRPr="00693AF8">
        <w:rPr>
          <w:rFonts w:asciiTheme="majorBidi" w:hAnsiTheme="majorBidi" w:cstheme="majorBidi"/>
          <w:lang w:val="en-US"/>
        </w:rPr>
        <w:t>), and profit-and-loss-sharing (</w:t>
      </w:r>
      <w:proofErr w:type="spellStart"/>
      <w:r w:rsidRPr="00693AF8">
        <w:rPr>
          <w:rFonts w:asciiTheme="majorBidi" w:hAnsiTheme="majorBidi" w:cstheme="majorBidi"/>
          <w:lang w:val="en-US"/>
        </w:rPr>
        <w:t>Musharakah</w:t>
      </w:r>
      <w:proofErr w:type="spellEnd"/>
      <w:r w:rsidRPr="00693AF8">
        <w:rPr>
          <w:rFonts w:asciiTheme="majorBidi" w:hAnsiTheme="majorBidi" w:cstheme="majorBidi"/>
          <w:lang w:val="en-US"/>
        </w:rPr>
        <w:t>), which create IAHs (</w:t>
      </w:r>
      <w:proofErr w:type="spellStart"/>
      <w:r w:rsidRPr="00693AF8">
        <w:rPr>
          <w:rFonts w:asciiTheme="majorBidi" w:hAnsiTheme="majorBidi" w:cstheme="majorBidi"/>
          <w:lang w:val="en-US"/>
        </w:rPr>
        <w:t>Safieddine</w:t>
      </w:r>
      <w:proofErr w:type="spellEnd"/>
      <w:r w:rsidRPr="00693AF8">
        <w:rPr>
          <w:rFonts w:asciiTheme="majorBidi" w:hAnsiTheme="majorBidi" w:cstheme="majorBidi"/>
          <w:lang w:val="en-US"/>
        </w:rPr>
        <w:t xml:space="preserve">, 2009). An investment account is an instrument of neither pure debt nor pure equity. </w:t>
      </w:r>
      <w:proofErr w:type="spellStart"/>
      <w:proofErr w:type="gramStart"/>
      <w:r w:rsidRPr="00693AF8">
        <w:rPr>
          <w:rFonts w:asciiTheme="majorBidi" w:hAnsiTheme="majorBidi" w:cstheme="majorBidi"/>
          <w:lang w:val="en-US"/>
        </w:rPr>
        <w:t>Greuning</w:t>
      </w:r>
      <w:proofErr w:type="spellEnd"/>
      <w:r w:rsidRPr="00693AF8">
        <w:rPr>
          <w:rFonts w:asciiTheme="majorBidi" w:hAnsiTheme="majorBidi" w:cstheme="majorBidi"/>
          <w:lang w:val="en-US"/>
        </w:rPr>
        <w:t xml:space="preserve"> and </w:t>
      </w:r>
      <w:proofErr w:type="spellStart"/>
      <w:r w:rsidRPr="00693AF8">
        <w:rPr>
          <w:rFonts w:asciiTheme="majorBidi" w:hAnsiTheme="majorBidi" w:cstheme="majorBidi"/>
          <w:lang w:val="en-US"/>
        </w:rPr>
        <w:t>Iqbal</w:t>
      </w:r>
      <w:proofErr w:type="spellEnd"/>
      <w:r w:rsidRPr="00693AF8">
        <w:rPr>
          <w:rFonts w:asciiTheme="majorBidi" w:hAnsiTheme="majorBidi" w:cstheme="majorBidi"/>
          <w:lang w:val="en-US"/>
        </w:rPr>
        <w:t xml:space="preserve"> (2007) state that IAHs are like quasi-equity holders, but without participation in the governance of the Islamic bank.</w:t>
      </w:r>
      <w:proofErr w:type="gramEnd"/>
      <w:r w:rsidRPr="00693AF8">
        <w:rPr>
          <w:rFonts w:asciiTheme="majorBidi" w:hAnsiTheme="majorBidi" w:cstheme="majorBidi"/>
          <w:lang w:val="en-US"/>
        </w:rPr>
        <w:t xml:space="preserve"> These accounts can be restricted or unrestricted and unilateral or bilateral. The relationship between the Islamic bank and IAHs involves a number of governance issues. IAHs have no right to intervene in the management of the funds. They are not granted the monitoring and control rights that shareholders enjoy and their cash flow rights are separated from the rights to control the investments. As a result, IAHs do not have any direct recourse to the bank to protect their rights. In the absence of a right to manage, the only choice possible to IAHs is the right to withdraw their funds when there is dissatisfaction in the bank’s performance (</w:t>
      </w:r>
      <w:proofErr w:type="spellStart"/>
      <w:r w:rsidRPr="00693AF8">
        <w:rPr>
          <w:rFonts w:asciiTheme="majorBidi" w:hAnsiTheme="majorBidi" w:cstheme="majorBidi"/>
          <w:lang w:val="en-US"/>
        </w:rPr>
        <w:t>Sulaiman</w:t>
      </w:r>
      <w:proofErr w:type="spellEnd"/>
      <w:r w:rsidRPr="00693AF8">
        <w:rPr>
          <w:rFonts w:asciiTheme="majorBidi" w:hAnsiTheme="majorBidi" w:cstheme="majorBidi"/>
          <w:lang w:val="en-US"/>
        </w:rPr>
        <w:t xml:space="preserve"> et al. 2011). However, in the case of unrestricted IAHs, some countries (such as Qatar and Malaysia), the banking supervisor takes the view that Islamic banks should not allow these accounts to suffer a loss of their capital or a major fall in their returns (Al-Sadah, 2007). According to Abdel Karim and Archer (2006), in order to mitigate the effects of this practice, some Islamic banks introduced the profit equalization reserve (PER)-(2</w:t>
      </w:r>
      <w:proofErr w:type="gramStart"/>
      <w:r w:rsidRPr="00693AF8">
        <w:rPr>
          <w:rFonts w:asciiTheme="majorBidi" w:hAnsiTheme="majorBidi" w:cstheme="majorBidi"/>
          <w:lang w:val="en-US"/>
        </w:rPr>
        <w:t>)or</w:t>
      </w:r>
      <w:proofErr w:type="gramEnd"/>
      <w:r w:rsidRPr="00693AF8">
        <w:rPr>
          <w:rFonts w:asciiTheme="majorBidi" w:hAnsiTheme="majorBidi" w:cstheme="majorBidi"/>
          <w:lang w:val="en-US"/>
        </w:rPr>
        <w:t xml:space="preserve"> Investment risk reserve (IRR)-(3).Al-Sadah (2007) argued that the introduction of an IRR may give rise to moral hazard problems (akin to deposit insurance schemes), since the existence of these reserves in Islamic banks is likely to encourage management to engage in excessive risk-taking.</w:t>
      </w:r>
    </w:p>
    <w:p w:rsidR="006632F1" w:rsidRDefault="006632F1" w:rsidP="00693AF8">
      <w:pPr>
        <w:jc w:val="both"/>
        <w:rPr>
          <w:rFonts w:asciiTheme="majorBidi" w:hAnsiTheme="majorBidi" w:cstheme="majorBidi"/>
          <w:b/>
          <w:bCs/>
          <w:lang w:val="en-US"/>
        </w:rPr>
      </w:pPr>
    </w:p>
    <w:p w:rsidR="005F04A8" w:rsidRDefault="005F04A8" w:rsidP="00693AF8">
      <w:pPr>
        <w:jc w:val="both"/>
        <w:rPr>
          <w:rFonts w:asciiTheme="majorBidi" w:hAnsiTheme="majorBidi" w:cstheme="majorBidi"/>
          <w:b/>
          <w:bCs/>
          <w:lang w:val="en-US"/>
        </w:rPr>
      </w:pPr>
    </w:p>
    <w:p w:rsidR="00693AF8" w:rsidRPr="00693AF8" w:rsidRDefault="00693AF8" w:rsidP="00693AF8">
      <w:pPr>
        <w:jc w:val="both"/>
        <w:rPr>
          <w:rFonts w:asciiTheme="majorBidi" w:hAnsiTheme="majorBidi" w:cstheme="majorBidi"/>
          <w:b/>
          <w:bCs/>
          <w:lang w:val="en-US"/>
        </w:rPr>
      </w:pPr>
      <w:r w:rsidRPr="00693AF8">
        <w:rPr>
          <w:rFonts w:asciiTheme="majorBidi" w:hAnsiTheme="majorBidi" w:cstheme="majorBidi"/>
          <w:b/>
          <w:bCs/>
          <w:lang w:val="en-US"/>
        </w:rPr>
        <w:lastRenderedPageBreak/>
        <w:t>3. Methodology and Data</w:t>
      </w:r>
    </w:p>
    <w:p w:rsidR="006632F1" w:rsidRDefault="006632F1" w:rsidP="00693AF8">
      <w:pPr>
        <w:jc w:val="both"/>
        <w:rPr>
          <w:rFonts w:asciiTheme="majorBidi" w:hAnsiTheme="majorBidi" w:cstheme="majorBidi"/>
          <w:b/>
          <w:bCs/>
          <w:lang w:val="en-US"/>
        </w:rPr>
      </w:pPr>
    </w:p>
    <w:p w:rsidR="00693AF8" w:rsidRPr="005F04A8" w:rsidRDefault="00693AF8" w:rsidP="006632F1">
      <w:pPr>
        <w:jc w:val="both"/>
        <w:rPr>
          <w:rFonts w:asciiTheme="majorBidi" w:hAnsiTheme="majorBidi" w:cstheme="majorBidi"/>
          <w:lang w:val="en-US"/>
        </w:rPr>
      </w:pPr>
      <w:r w:rsidRPr="005F04A8">
        <w:rPr>
          <w:rFonts w:asciiTheme="majorBidi" w:hAnsiTheme="majorBidi" w:cstheme="majorBidi"/>
          <w:lang w:val="en-US"/>
        </w:rPr>
        <w:t xml:space="preserve">3.1. Construction of </w:t>
      </w:r>
      <w:r w:rsidR="006632F1" w:rsidRPr="005F04A8">
        <w:rPr>
          <w:rFonts w:asciiTheme="majorBidi" w:hAnsiTheme="majorBidi" w:cstheme="majorBidi"/>
          <w:lang w:val="en-US"/>
        </w:rPr>
        <w:t>C</w:t>
      </w:r>
      <w:r w:rsidRPr="005F04A8">
        <w:rPr>
          <w:rFonts w:asciiTheme="majorBidi" w:hAnsiTheme="majorBidi" w:cstheme="majorBidi"/>
          <w:lang w:val="en-US"/>
        </w:rPr>
        <w:t xml:space="preserve">orporate </w:t>
      </w:r>
      <w:r w:rsidR="006632F1" w:rsidRPr="005F04A8">
        <w:rPr>
          <w:rFonts w:asciiTheme="majorBidi" w:hAnsiTheme="majorBidi" w:cstheme="majorBidi"/>
          <w:lang w:val="en-US"/>
        </w:rPr>
        <w:t>G</w:t>
      </w:r>
      <w:r w:rsidRPr="005F04A8">
        <w:rPr>
          <w:rFonts w:asciiTheme="majorBidi" w:hAnsiTheme="majorBidi" w:cstheme="majorBidi"/>
          <w:lang w:val="en-US"/>
        </w:rPr>
        <w:t xml:space="preserve">overnance </w:t>
      </w:r>
      <w:r w:rsidR="006632F1" w:rsidRPr="005F04A8">
        <w:rPr>
          <w:rFonts w:asciiTheme="majorBidi" w:hAnsiTheme="majorBidi" w:cstheme="majorBidi"/>
          <w:lang w:val="en-US"/>
        </w:rPr>
        <w:t>I</w:t>
      </w:r>
      <w:r w:rsidRPr="005F04A8">
        <w:rPr>
          <w:rFonts w:asciiTheme="majorBidi" w:hAnsiTheme="majorBidi" w:cstheme="majorBidi"/>
          <w:lang w:val="en-US"/>
        </w:rPr>
        <w:t>ndex</w:t>
      </w:r>
    </w:p>
    <w:p w:rsidR="006632F1" w:rsidRDefault="006632F1" w:rsidP="00693AF8">
      <w:pPr>
        <w:jc w:val="both"/>
        <w:rPr>
          <w:rFonts w:asciiTheme="majorBidi" w:hAnsiTheme="majorBidi" w:cstheme="majorBidi"/>
          <w:lang w:val="en-US"/>
        </w:rPr>
      </w:pPr>
    </w:p>
    <w:p w:rsidR="00693AF8" w:rsidRPr="00693AF8" w:rsidRDefault="00693AF8" w:rsidP="00EE0BC1">
      <w:pPr>
        <w:spacing w:line="240" w:lineRule="exact"/>
        <w:ind w:right="-28" w:firstLine="244"/>
        <w:jc w:val="both"/>
        <w:rPr>
          <w:rFonts w:asciiTheme="majorBidi" w:hAnsiTheme="majorBidi" w:cstheme="majorBidi"/>
          <w:lang w:val="en-US"/>
        </w:rPr>
      </w:pPr>
      <w:r w:rsidRPr="00693AF8">
        <w:rPr>
          <w:rFonts w:asciiTheme="majorBidi" w:hAnsiTheme="majorBidi" w:cstheme="majorBidi"/>
          <w:lang w:val="en-US"/>
        </w:rPr>
        <w:t>Various CGDI have been developed in the finance literature, particularly in developed countries. A few</w:t>
      </w:r>
      <w:r w:rsidR="001169AA">
        <w:rPr>
          <w:rFonts w:asciiTheme="majorBidi" w:hAnsiTheme="majorBidi" w:cstheme="majorBidi"/>
          <w:lang w:val="en-US"/>
        </w:rPr>
        <w:t xml:space="preserve"> </w:t>
      </w:r>
      <w:r w:rsidRPr="00693AF8">
        <w:rPr>
          <w:rFonts w:asciiTheme="majorBidi" w:hAnsiTheme="majorBidi" w:cstheme="majorBidi"/>
          <w:lang w:val="en-US"/>
        </w:rPr>
        <w:t>works have been done on emerging markets and the majority of them concern non-financial firms. For example, using a sample of 95 listed companies in the UAE, Hassan (2012) developed a CGDI, which consists of 42 attributes related to ownership structure, board structure, external auditing and transparency. Recently, in the GCC countries, Al-</w:t>
      </w:r>
      <w:proofErr w:type="spellStart"/>
      <w:r w:rsidRPr="00693AF8">
        <w:rPr>
          <w:rFonts w:asciiTheme="majorBidi" w:hAnsiTheme="majorBidi" w:cstheme="majorBidi"/>
          <w:lang w:val="en-US"/>
        </w:rPr>
        <w:t>Malkawi</w:t>
      </w:r>
      <w:proofErr w:type="spellEnd"/>
      <w:r w:rsidRPr="00693AF8">
        <w:rPr>
          <w:rFonts w:asciiTheme="majorBidi" w:hAnsiTheme="majorBidi" w:cstheme="majorBidi"/>
          <w:lang w:val="en-US"/>
        </w:rPr>
        <w:t xml:space="preserve"> et al. (2014) constructed a CGDI based on 30 items under three governance categories: disclosure, board effectiveness and shareholders rights. In the context of Islamic banks, very limited studies</w:t>
      </w:r>
      <w:r w:rsidR="001169AA">
        <w:rPr>
          <w:rFonts w:asciiTheme="majorBidi" w:hAnsiTheme="majorBidi" w:cstheme="majorBidi"/>
          <w:lang w:val="en-US"/>
        </w:rPr>
        <w:t xml:space="preserve"> </w:t>
      </w:r>
      <w:r w:rsidRPr="00693AF8">
        <w:rPr>
          <w:rFonts w:asciiTheme="majorBidi" w:hAnsiTheme="majorBidi" w:cstheme="majorBidi"/>
          <w:lang w:val="en-US"/>
        </w:rPr>
        <w:t xml:space="preserve">exist in the literature (for example, </w:t>
      </w:r>
      <w:proofErr w:type="spellStart"/>
      <w:r w:rsidRPr="00693AF8">
        <w:rPr>
          <w:rFonts w:asciiTheme="majorBidi" w:hAnsiTheme="majorBidi" w:cstheme="majorBidi"/>
          <w:lang w:val="en-US"/>
        </w:rPr>
        <w:t>Sulaiman</w:t>
      </w:r>
      <w:proofErr w:type="spellEnd"/>
      <w:r w:rsidRPr="00693AF8">
        <w:rPr>
          <w:rFonts w:asciiTheme="majorBidi" w:hAnsiTheme="majorBidi" w:cstheme="majorBidi"/>
          <w:lang w:val="en-US"/>
        </w:rPr>
        <w:t xml:space="preserve"> et al. 2011; Hassan and </w:t>
      </w:r>
      <w:proofErr w:type="spellStart"/>
      <w:r w:rsidRPr="00693AF8">
        <w:rPr>
          <w:rFonts w:asciiTheme="majorBidi" w:hAnsiTheme="majorBidi" w:cstheme="majorBidi"/>
          <w:lang w:val="en-US"/>
        </w:rPr>
        <w:t>Mollah</w:t>
      </w:r>
      <w:proofErr w:type="spellEnd"/>
      <w:r w:rsidRPr="00693AF8">
        <w:rPr>
          <w:rFonts w:asciiTheme="majorBidi" w:hAnsiTheme="majorBidi" w:cstheme="majorBidi"/>
          <w:lang w:val="en-US"/>
        </w:rPr>
        <w:t>, 2012). To fill this gap, a comprehensive CGDI is constructed to measure governance quality with a variety of different governance practices being followed by financial institutions in GCC countries. The scoring of the index for each bank is conducted through a content analysis based on the information which can be extracted from the annual reports of the bank or from their website. Increasing corporate governance disclosures in annual reports may be interpreted as a way by which banks try to secure the level of confidence and trust of their stakeholders (</w:t>
      </w:r>
      <w:proofErr w:type="spellStart"/>
      <w:r w:rsidRPr="00693AF8">
        <w:rPr>
          <w:rFonts w:asciiTheme="majorBidi" w:hAnsiTheme="majorBidi" w:cstheme="majorBidi"/>
          <w:lang w:val="en-US"/>
        </w:rPr>
        <w:t>Sulaiman</w:t>
      </w:r>
      <w:proofErr w:type="spellEnd"/>
      <w:r w:rsidRPr="00693AF8">
        <w:rPr>
          <w:rFonts w:asciiTheme="majorBidi" w:hAnsiTheme="majorBidi" w:cstheme="majorBidi"/>
          <w:lang w:val="en-US"/>
        </w:rPr>
        <w:t xml:space="preserve"> et al. 2011). The dimensions and items considered for preparing the index are carefully developed from a number of studies and international benchmarks (4).Based on these standards, we construct a composite governance index which comprises 63 items</w:t>
      </w:r>
      <w:r w:rsidR="003335C2">
        <w:rPr>
          <w:rFonts w:asciiTheme="majorBidi" w:hAnsiTheme="majorBidi" w:cstheme="majorBidi"/>
          <w:lang w:val="en-US"/>
        </w:rPr>
        <w:t xml:space="preserve"> </w:t>
      </w:r>
      <w:r w:rsidRPr="00693AF8">
        <w:rPr>
          <w:rFonts w:asciiTheme="majorBidi" w:hAnsiTheme="majorBidi" w:cstheme="majorBidi"/>
          <w:lang w:val="en-US"/>
        </w:rPr>
        <w:t xml:space="preserve">broken into six components as follows: board structure, risk management, transparency and disclosure, audit committee, </w:t>
      </w:r>
      <w:proofErr w:type="spellStart"/>
      <w:r w:rsidRPr="00693AF8">
        <w:rPr>
          <w:rFonts w:asciiTheme="majorBidi" w:hAnsiTheme="majorBidi" w:cstheme="majorBidi"/>
          <w:lang w:val="en-US"/>
        </w:rPr>
        <w:t>Sharia</w:t>
      </w:r>
      <w:r w:rsidR="003335C2">
        <w:rPr>
          <w:rFonts w:asciiTheme="majorBidi" w:hAnsiTheme="majorBidi" w:cstheme="majorBidi"/>
          <w:lang w:val="en-US"/>
        </w:rPr>
        <w:t>h</w:t>
      </w:r>
      <w:proofErr w:type="spellEnd"/>
      <w:r w:rsidR="003335C2">
        <w:rPr>
          <w:rFonts w:asciiTheme="majorBidi" w:hAnsiTheme="majorBidi" w:cstheme="majorBidi"/>
          <w:lang w:val="en-US"/>
        </w:rPr>
        <w:t xml:space="preserve"> </w:t>
      </w:r>
      <w:r w:rsidRPr="00693AF8">
        <w:rPr>
          <w:rFonts w:asciiTheme="majorBidi" w:hAnsiTheme="majorBidi" w:cstheme="majorBidi"/>
          <w:lang w:val="en-US"/>
        </w:rPr>
        <w:t xml:space="preserve">supervisory board and investment account holders (see appendix 1).  Similarly to several studies (e.g., </w:t>
      </w:r>
      <w:proofErr w:type="spellStart"/>
      <w:r w:rsidRPr="00693AF8">
        <w:rPr>
          <w:rFonts w:asciiTheme="majorBidi" w:hAnsiTheme="majorBidi" w:cstheme="majorBidi"/>
          <w:lang w:val="en-US"/>
        </w:rPr>
        <w:t>Darmadi</w:t>
      </w:r>
      <w:proofErr w:type="spellEnd"/>
      <w:r w:rsidRPr="00693AF8">
        <w:rPr>
          <w:rFonts w:asciiTheme="majorBidi" w:hAnsiTheme="majorBidi" w:cstheme="majorBidi"/>
          <w:lang w:val="en-US"/>
        </w:rPr>
        <w:t>, 2011; Al-</w:t>
      </w:r>
      <w:proofErr w:type="spellStart"/>
      <w:r w:rsidRPr="00693AF8">
        <w:rPr>
          <w:rFonts w:asciiTheme="majorBidi" w:hAnsiTheme="majorBidi" w:cstheme="majorBidi"/>
          <w:lang w:val="en-US"/>
        </w:rPr>
        <w:t>Malkawi</w:t>
      </w:r>
      <w:proofErr w:type="spellEnd"/>
      <w:r w:rsidRPr="00693AF8">
        <w:rPr>
          <w:rFonts w:asciiTheme="majorBidi" w:hAnsiTheme="majorBidi" w:cstheme="majorBidi"/>
          <w:lang w:val="en-US"/>
        </w:rPr>
        <w:t xml:space="preserve"> et al.</w:t>
      </w:r>
      <w:r w:rsidR="003335C2">
        <w:rPr>
          <w:rFonts w:asciiTheme="majorBidi" w:hAnsiTheme="majorBidi" w:cstheme="majorBidi"/>
          <w:lang w:val="en-US"/>
        </w:rPr>
        <w:t>,</w:t>
      </w:r>
      <w:r w:rsidRPr="00693AF8">
        <w:rPr>
          <w:rFonts w:asciiTheme="majorBidi" w:hAnsiTheme="majorBidi" w:cstheme="majorBidi"/>
          <w:lang w:val="en-US"/>
        </w:rPr>
        <w:t xml:space="preserve"> 2014), in scoring items, the CGDI was developed by using the dichotomous, which the score of 1 if the bank discloses the item and 0 if it is not, without any penalty for each undisclosed item. All items are equally weighted. We choose to construct an unweighted index since this approach has an advantage of treating every attribute under a sub-index symmetrically without having to make any subjective judgments on the relative importance of each attribute (Sarkar et al 2012).</w:t>
      </w:r>
    </w:p>
    <w:p w:rsidR="00693AF8" w:rsidRPr="00693AF8" w:rsidRDefault="00693AF8" w:rsidP="00EE0BC1">
      <w:pPr>
        <w:spacing w:line="240" w:lineRule="exact"/>
        <w:ind w:right="-28" w:firstLine="244"/>
        <w:jc w:val="both"/>
        <w:rPr>
          <w:rFonts w:asciiTheme="majorBidi" w:hAnsiTheme="majorBidi" w:cstheme="majorBidi"/>
          <w:lang w:val="en-US"/>
        </w:rPr>
      </w:pPr>
      <w:r w:rsidRPr="00693AF8">
        <w:rPr>
          <w:rFonts w:asciiTheme="majorBidi" w:hAnsiTheme="majorBidi" w:cstheme="majorBidi"/>
          <w:lang w:val="en-US"/>
        </w:rPr>
        <w:t>The scores will be calculated for each bank and for each dimension of corporate governance as follows:</w:t>
      </w:r>
    </w:p>
    <w:p w:rsidR="00693AF8" w:rsidRPr="00693AF8" w:rsidRDefault="00693AF8" w:rsidP="00EE0BC1">
      <w:pPr>
        <w:ind w:firstLine="244"/>
        <w:jc w:val="both"/>
        <w:rPr>
          <w:rFonts w:asciiTheme="majorBidi" w:hAnsiTheme="majorBidi" w:cstheme="majorBidi"/>
          <w:lang w:val="en-US"/>
        </w:rPr>
      </w:pPr>
      <w:proofErr w:type="spellStart"/>
      <w:r w:rsidRPr="00693AF8">
        <w:rPr>
          <w:rFonts w:asciiTheme="majorBidi" w:hAnsiTheme="majorBidi" w:cstheme="majorBidi"/>
          <w:lang w:val="en-US"/>
        </w:rPr>
        <w:t>CGDIj</w:t>
      </w:r>
      <w:proofErr w:type="spellEnd"/>
      <w:r w:rsidRPr="00693AF8">
        <w:rPr>
          <w:rFonts w:asciiTheme="majorBidi" w:hAnsiTheme="majorBidi" w:cstheme="majorBidi"/>
          <w:lang w:val="en-US"/>
        </w:rPr>
        <w:t xml:space="preserve"> = </w:t>
      </w:r>
      <m:oMath>
        <m:f>
          <m:fPr>
            <m:ctrlPr>
              <w:rPr>
                <w:rFonts w:ascii="Cambria Math" w:hAnsi="Cambria Math" w:cstheme="majorBidi"/>
                <w:i/>
                <w:lang w:val="en-US"/>
              </w:rPr>
            </m:ctrlPr>
          </m:fPr>
          <m:num>
            <m:nary>
              <m:naryPr>
                <m:chr m:val="∑"/>
                <m:limLoc m:val="undOvr"/>
                <m:ctrlPr>
                  <w:rPr>
                    <w:rFonts w:ascii="Cambria Math" w:hAnsi="Cambria Math" w:cstheme="majorBidi"/>
                    <w:i/>
                    <w:lang w:val="en-US"/>
                  </w:rPr>
                </m:ctrlPr>
              </m:naryPr>
              <m:sub>
                <m:r>
                  <w:rPr>
                    <w:rFonts w:ascii="Cambria Math" w:hAnsi="Cambria Math" w:cstheme="majorBidi"/>
                    <w:lang w:val="en-US"/>
                  </w:rPr>
                  <m:t>i=1</m:t>
                </m:r>
              </m:sub>
              <m:sup>
                <m:r>
                  <w:rPr>
                    <w:rFonts w:ascii="Cambria Math" w:hAnsi="Cambria Math" w:cstheme="majorBidi"/>
                    <w:lang w:val="en-US"/>
                  </w:rPr>
                  <m:t>nj</m:t>
                </m:r>
              </m:sup>
              <m:e>
                <m:r>
                  <w:rPr>
                    <w:rFonts w:ascii="Cambria Math" w:hAnsi="Cambria Math" w:cstheme="majorBidi"/>
                    <w:lang w:val="en-US"/>
                  </w:rPr>
                  <m:t>Xij   x 100</m:t>
                </m:r>
              </m:e>
            </m:nary>
          </m:num>
          <m:den>
            <m:r>
              <w:rPr>
                <w:rFonts w:ascii="Cambria Math" w:hAnsi="Cambria Math" w:cstheme="majorBidi"/>
                <w:lang w:val="en-US"/>
              </w:rPr>
              <m:t>nj</m:t>
            </m:r>
          </m:den>
        </m:f>
      </m:oMath>
    </w:p>
    <w:p w:rsidR="00693AF8" w:rsidRPr="00693AF8" w:rsidRDefault="00693AF8" w:rsidP="00EE0BC1">
      <w:pPr>
        <w:spacing w:line="240" w:lineRule="exact"/>
        <w:ind w:right="-28" w:firstLine="244"/>
        <w:jc w:val="both"/>
        <w:rPr>
          <w:rFonts w:asciiTheme="majorBidi" w:hAnsiTheme="majorBidi" w:cstheme="majorBidi"/>
          <w:lang w:val="en-US"/>
        </w:rPr>
      </w:pPr>
      <w:r w:rsidRPr="00693AF8">
        <w:rPr>
          <w:rFonts w:asciiTheme="majorBidi" w:hAnsiTheme="majorBidi" w:cstheme="majorBidi"/>
          <w:lang w:val="en-US"/>
        </w:rPr>
        <w:t xml:space="preserve">Where </w:t>
      </w:r>
      <w:proofErr w:type="spellStart"/>
      <w:r w:rsidRPr="00693AF8">
        <w:rPr>
          <w:rFonts w:asciiTheme="majorBidi" w:hAnsiTheme="majorBidi" w:cstheme="majorBidi"/>
          <w:lang w:val="en-US"/>
        </w:rPr>
        <w:t>CGDIj</w:t>
      </w:r>
      <w:proofErr w:type="spellEnd"/>
      <w:r w:rsidRPr="00693AF8">
        <w:rPr>
          <w:rFonts w:asciiTheme="majorBidi" w:hAnsiTheme="majorBidi" w:cstheme="majorBidi"/>
          <w:lang w:val="en-US"/>
        </w:rPr>
        <w:t xml:space="preserve"> represents corporate governance for the bank j, </w:t>
      </w:r>
      <w:proofErr w:type="spellStart"/>
      <w:r w:rsidRPr="00693AF8">
        <w:rPr>
          <w:rFonts w:asciiTheme="majorBidi" w:hAnsiTheme="majorBidi" w:cstheme="majorBidi"/>
          <w:lang w:val="en-US"/>
        </w:rPr>
        <w:t>Xij</w:t>
      </w:r>
      <w:proofErr w:type="spellEnd"/>
      <w:r w:rsidRPr="00693AF8">
        <w:rPr>
          <w:rFonts w:asciiTheme="majorBidi" w:hAnsiTheme="majorBidi" w:cstheme="majorBidi"/>
          <w:lang w:val="en-US"/>
        </w:rPr>
        <w:t xml:space="preserve"> =1, if the bank discloses </w:t>
      </w:r>
      <w:proofErr w:type="spellStart"/>
      <w:r w:rsidRPr="00693AF8">
        <w:rPr>
          <w:rFonts w:asciiTheme="majorBidi" w:hAnsiTheme="majorBidi" w:cstheme="majorBidi"/>
          <w:lang w:val="en-US"/>
        </w:rPr>
        <w:t>ith</w:t>
      </w:r>
      <w:proofErr w:type="spellEnd"/>
      <w:r w:rsidRPr="00693AF8">
        <w:rPr>
          <w:rFonts w:asciiTheme="majorBidi" w:hAnsiTheme="majorBidi" w:cstheme="majorBidi"/>
          <w:lang w:val="en-US"/>
        </w:rPr>
        <w:t xml:space="preserve"> item and 0 if </w:t>
      </w:r>
      <w:proofErr w:type="spellStart"/>
      <w:r w:rsidRPr="00693AF8">
        <w:rPr>
          <w:rFonts w:asciiTheme="majorBidi" w:hAnsiTheme="majorBidi" w:cstheme="majorBidi"/>
          <w:lang w:val="en-US"/>
        </w:rPr>
        <w:t>ith</w:t>
      </w:r>
      <w:proofErr w:type="spellEnd"/>
      <w:r w:rsidRPr="00693AF8">
        <w:rPr>
          <w:rFonts w:asciiTheme="majorBidi" w:hAnsiTheme="majorBidi" w:cstheme="majorBidi"/>
          <w:lang w:val="en-US"/>
        </w:rPr>
        <w:t xml:space="preserve"> item is not disclosed, </w:t>
      </w:r>
      <w:proofErr w:type="spellStart"/>
      <w:proofErr w:type="gramStart"/>
      <w:r w:rsidRPr="00693AF8">
        <w:rPr>
          <w:rFonts w:asciiTheme="majorBidi" w:hAnsiTheme="majorBidi" w:cstheme="majorBidi"/>
          <w:lang w:val="en-US"/>
        </w:rPr>
        <w:t>nj</w:t>
      </w:r>
      <w:proofErr w:type="spellEnd"/>
      <w:proofErr w:type="gramEnd"/>
      <w:r w:rsidRPr="00693AF8">
        <w:rPr>
          <w:rFonts w:asciiTheme="majorBidi" w:hAnsiTheme="majorBidi" w:cstheme="majorBidi"/>
          <w:lang w:val="en-US"/>
        </w:rPr>
        <w:t xml:space="preserve"> is the number of items expected to be disclosed by the bank. Theoretically, the CGDI could range from 0 to 100%. A bank that reports all 63 items will score 100%. We construct the CGDI for each country in two steps. In the first step, we calculate a sub index for each of the six corporate governance components and then we average the values of the six sub-indices to arrive at CGDI for each bank. The higher the index, the more transparent the bank is in disseminating information on its </w:t>
      </w:r>
      <w:r w:rsidR="001169AA">
        <w:rPr>
          <w:rFonts w:asciiTheme="majorBidi" w:hAnsiTheme="majorBidi" w:cstheme="majorBidi"/>
          <w:lang w:val="en-US"/>
        </w:rPr>
        <w:t xml:space="preserve"> </w:t>
      </w:r>
      <w:r w:rsidRPr="00693AF8">
        <w:rPr>
          <w:rFonts w:asciiTheme="majorBidi" w:hAnsiTheme="majorBidi" w:cstheme="majorBidi"/>
          <w:lang w:val="en-US"/>
        </w:rPr>
        <w:t xml:space="preserve"> practices in the annual report. In the second step, the scores computed for each bank in the respective country are summed up and then averages are calculated to find the overall CGDI for the whole country.</w:t>
      </w:r>
    </w:p>
    <w:p w:rsidR="00EE0BC1" w:rsidRDefault="00EE0BC1" w:rsidP="00693AF8">
      <w:pPr>
        <w:jc w:val="both"/>
        <w:rPr>
          <w:rFonts w:asciiTheme="majorBidi" w:hAnsiTheme="majorBidi" w:cstheme="majorBidi"/>
          <w:b/>
          <w:bCs/>
          <w:lang w:val="en-US"/>
        </w:rPr>
      </w:pPr>
    </w:p>
    <w:p w:rsidR="00693AF8" w:rsidRPr="005F04A8" w:rsidRDefault="00693AF8" w:rsidP="005F04A8">
      <w:pPr>
        <w:jc w:val="both"/>
        <w:rPr>
          <w:rFonts w:asciiTheme="majorBidi" w:hAnsiTheme="majorBidi" w:cstheme="majorBidi"/>
          <w:lang w:val="en-US"/>
        </w:rPr>
      </w:pPr>
      <w:r w:rsidRPr="005F04A8">
        <w:rPr>
          <w:rFonts w:asciiTheme="majorBidi" w:hAnsiTheme="majorBidi" w:cstheme="majorBidi"/>
          <w:lang w:val="en-US"/>
        </w:rPr>
        <w:t xml:space="preserve">3.2. Variables and </w:t>
      </w:r>
      <w:r w:rsidR="005F04A8">
        <w:rPr>
          <w:rFonts w:asciiTheme="majorBidi" w:hAnsiTheme="majorBidi" w:cstheme="majorBidi"/>
          <w:lang w:val="en-US"/>
        </w:rPr>
        <w:t>E</w:t>
      </w:r>
      <w:r w:rsidRPr="005F04A8">
        <w:rPr>
          <w:rFonts w:asciiTheme="majorBidi" w:hAnsiTheme="majorBidi" w:cstheme="majorBidi"/>
          <w:lang w:val="en-US"/>
        </w:rPr>
        <w:t>conometric model</w:t>
      </w:r>
    </w:p>
    <w:p w:rsidR="00EE0BC1" w:rsidRDefault="00EE0BC1" w:rsidP="00693AF8">
      <w:pPr>
        <w:jc w:val="both"/>
        <w:rPr>
          <w:rFonts w:asciiTheme="majorBidi" w:hAnsiTheme="majorBidi" w:cstheme="majorBidi"/>
          <w:lang w:val="en-US"/>
        </w:rPr>
      </w:pPr>
    </w:p>
    <w:p w:rsidR="00693AF8" w:rsidRPr="00693AF8" w:rsidRDefault="00693AF8" w:rsidP="00662E45">
      <w:pPr>
        <w:spacing w:line="240" w:lineRule="exact"/>
        <w:ind w:right="-28" w:firstLine="244"/>
        <w:jc w:val="both"/>
        <w:rPr>
          <w:rFonts w:asciiTheme="majorBidi" w:hAnsiTheme="majorBidi" w:cstheme="majorBidi"/>
          <w:lang w:val="en-US"/>
        </w:rPr>
      </w:pPr>
      <w:r w:rsidRPr="00693AF8">
        <w:rPr>
          <w:rFonts w:asciiTheme="majorBidi" w:hAnsiTheme="majorBidi" w:cstheme="majorBidi"/>
          <w:lang w:val="en-US"/>
        </w:rPr>
        <w:t>In the banking literature, it appears that there are no agreed proxies for bank performance measures. A great number of company performance measures have been used in prior studies. In this study, we use three alternative measures of bank performance in line with corporate governance research. Our first measure of bank performance is the bank market-to book value ratio (Q), which we calculate as the book value of total assets minus the book value of common equity plus the market value of common equity divided by the book value of total assets as the usual proxy for Tobin’s Q. Following several studies (</w:t>
      </w:r>
      <w:proofErr w:type="spellStart"/>
      <w:r w:rsidRPr="00693AF8">
        <w:rPr>
          <w:rFonts w:asciiTheme="majorBidi" w:hAnsiTheme="majorBidi" w:cstheme="majorBidi"/>
          <w:lang w:val="en-US"/>
        </w:rPr>
        <w:t>Rehman</w:t>
      </w:r>
      <w:proofErr w:type="spellEnd"/>
      <w:r w:rsidRPr="00693AF8">
        <w:rPr>
          <w:rFonts w:asciiTheme="majorBidi" w:hAnsiTheme="majorBidi" w:cstheme="majorBidi"/>
          <w:lang w:val="en-US"/>
        </w:rPr>
        <w:t xml:space="preserve"> and </w:t>
      </w:r>
      <w:proofErr w:type="spellStart"/>
      <w:r w:rsidRPr="00693AF8">
        <w:rPr>
          <w:rFonts w:asciiTheme="majorBidi" w:hAnsiTheme="majorBidi" w:cstheme="majorBidi"/>
          <w:lang w:val="en-US"/>
        </w:rPr>
        <w:t>Mangla</w:t>
      </w:r>
      <w:proofErr w:type="spellEnd"/>
      <w:r w:rsidRPr="00693AF8">
        <w:rPr>
          <w:rFonts w:asciiTheme="majorBidi" w:hAnsiTheme="majorBidi" w:cstheme="majorBidi"/>
          <w:lang w:val="en-US"/>
        </w:rPr>
        <w:t xml:space="preserve">, 2010; </w:t>
      </w:r>
      <w:proofErr w:type="spellStart"/>
      <w:r w:rsidRPr="00693AF8">
        <w:rPr>
          <w:rFonts w:asciiTheme="majorBidi" w:hAnsiTheme="majorBidi" w:cstheme="majorBidi"/>
          <w:lang w:val="en-US"/>
        </w:rPr>
        <w:t>Aebi</w:t>
      </w:r>
      <w:proofErr w:type="spellEnd"/>
      <w:r w:rsidRPr="00693AF8">
        <w:rPr>
          <w:rFonts w:asciiTheme="majorBidi" w:hAnsiTheme="majorBidi" w:cstheme="majorBidi"/>
          <w:lang w:val="en-US"/>
        </w:rPr>
        <w:t xml:space="preserve"> et al. 2012; </w:t>
      </w:r>
      <w:proofErr w:type="spellStart"/>
      <w:r w:rsidRPr="00693AF8">
        <w:rPr>
          <w:rFonts w:asciiTheme="majorBidi" w:hAnsiTheme="majorBidi" w:cstheme="majorBidi"/>
          <w:lang w:val="en-US"/>
        </w:rPr>
        <w:t>Dedu</w:t>
      </w:r>
      <w:proofErr w:type="spellEnd"/>
      <w:r w:rsidRPr="00693AF8">
        <w:rPr>
          <w:rFonts w:asciiTheme="majorBidi" w:hAnsiTheme="majorBidi" w:cstheme="majorBidi"/>
          <w:lang w:val="en-US"/>
        </w:rPr>
        <w:t xml:space="preserve"> and </w:t>
      </w:r>
      <w:proofErr w:type="spellStart"/>
      <w:r w:rsidRPr="00693AF8">
        <w:rPr>
          <w:rFonts w:asciiTheme="majorBidi" w:hAnsiTheme="majorBidi" w:cstheme="majorBidi"/>
          <w:lang w:val="en-US"/>
        </w:rPr>
        <w:t>Chitan</w:t>
      </w:r>
      <w:proofErr w:type="spellEnd"/>
      <w:r w:rsidRPr="00693AF8">
        <w:rPr>
          <w:rFonts w:asciiTheme="majorBidi" w:hAnsiTheme="majorBidi" w:cstheme="majorBidi"/>
          <w:lang w:val="en-US"/>
        </w:rPr>
        <w:t xml:space="preserve">, 2013), we use two other measure of bank performance to test the robustness of the analysis, the return on assets (ROA) and return on equity (ROE). We calculate ROA as the net income divided by average total assets and ROE as the banks’ net income divided by the book value of equity. Our primary focus in this study is the impact of the quality of corporate governance on bank performance. However, we need to control for other variables that could potentially affect the performance of Islamic banks. In the existing literature, bank performance is usually </w:t>
      </w:r>
      <w:r w:rsidRPr="00693AF8">
        <w:rPr>
          <w:rFonts w:asciiTheme="majorBidi" w:hAnsiTheme="majorBidi" w:cstheme="majorBidi"/>
          <w:lang w:val="en-US"/>
        </w:rPr>
        <w:lastRenderedPageBreak/>
        <w:t xml:space="preserve">expressed as a function of internal and external determinants. According to </w:t>
      </w:r>
      <w:proofErr w:type="spellStart"/>
      <w:r w:rsidRPr="00693AF8">
        <w:rPr>
          <w:rFonts w:asciiTheme="majorBidi" w:hAnsiTheme="majorBidi" w:cstheme="majorBidi"/>
          <w:lang w:val="en-US"/>
        </w:rPr>
        <w:t>Sufian</w:t>
      </w:r>
      <w:proofErr w:type="spellEnd"/>
      <w:r w:rsidRPr="00693AF8">
        <w:rPr>
          <w:rFonts w:asciiTheme="majorBidi" w:hAnsiTheme="majorBidi" w:cstheme="majorBidi"/>
          <w:lang w:val="en-US"/>
        </w:rPr>
        <w:t xml:space="preserve"> and </w:t>
      </w:r>
      <w:proofErr w:type="spellStart"/>
      <w:r w:rsidRPr="00693AF8">
        <w:rPr>
          <w:rFonts w:asciiTheme="majorBidi" w:hAnsiTheme="majorBidi" w:cstheme="majorBidi"/>
          <w:lang w:val="en-US"/>
        </w:rPr>
        <w:t>Habibullah</w:t>
      </w:r>
      <w:proofErr w:type="spellEnd"/>
      <w:r w:rsidRPr="00693AF8">
        <w:rPr>
          <w:rFonts w:asciiTheme="majorBidi" w:hAnsiTheme="majorBidi" w:cstheme="majorBidi"/>
          <w:lang w:val="en-US"/>
        </w:rPr>
        <w:t xml:space="preserve"> (2010), Internal determinants are factors that are mainly influenced by a bank‘s management decision and policy objective and external determinants reflect the economic and legal environments where banks operate. To avoid the omitted variable bias, we control in this study internal and external variables, which in the previous literature were found to affect the performance of banks.</w:t>
      </w:r>
    </w:p>
    <w:p w:rsidR="00974B0F" w:rsidRDefault="00974B0F" w:rsidP="00693AF8">
      <w:pPr>
        <w:jc w:val="both"/>
        <w:rPr>
          <w:rFonts w:asciiTheme="majorBidi" w:hAnsiTheme="majorBidi" w:cstheme="majorBidi"/>
          <w:lang w:val="en-US"/>
        </w:rPr>
      </w:pPr>
    </w:p>
    <w:p w:rsidR="00974B0F" w:rsidRPr="001725B3" w:rsidRDefault="00974B0F" w:rsidP="00246EAA">
      <w:pPr>
        <w:jc w:val="center"/>
        <w:rPr>
          <w:rFonts w:eastAsia="Times New Roman"/>
          <w:sz w:val="16"/>
          <w:szCs w:val="16"/>
        </w:rPr>
      </w:pPr>
      <w:r w:rsidRPr="00974B0F">
        <w:rPr>
          <w:rFonts w:eastAsia="Times New Roman"/>
          <w:b/>
          <w:bCs/>
          <w:sz w:val="16"/>
          <w:szCs w:val="16"/>
        </w:rPr>
        <w:t>Table 1: Variables’ description</w:t>
      </w:r>
    </w:p>
    <w:tbl>
      <w:tblPr>
        <w:tblStyle w:val="TableGrid"/>
        <w:tblW w:w="0" w:type="auto"/>
        <w:tblInd w:w="250" w:type="dxa"/>
        <w:tblLook w:val="04A0"/>
      </w:tblPr>
      <w:tblGrid>
        <w:gridCol w:w="3198"/>
        <w:gridCol w:w="5024"/>
      </w:tblGrid>
      <w:tr w:rsidR="00974B0F" w:rsidRPr="00974B0F" w:rsidTr="00974B0F">
        <w:trPr>
          <w:tblHeader/>
        </w:trPr>
        <w:tc>
          <w:tcPr>
            <w:tcW w:w="3198" w:type="dxa"/>
          </w:tcPr>
          <w:p w:rsidR="00974B0F" w:rsidRPr="00974B0F" w:rsidRDefault="00974B0F" w:rsidP="00974B0F">
            <w:pPr>
              <w:jc w:val="center"/>
              <w:rPr>
                <w:rFonts w:ascii="Times New Roman" w:eastAsia="Times New Roman" w:hAnsi="Times New Roman" w:cs="Times New Roman"/>
                <w:b/>
                <w:bCs/>
                <w:sz w:val="16"/>
                <w:szCs w:val="16"/>
              </w:rPr>
            </w:pPr>
            <w:r w:rsidRPr="00974B0F">
              <w:rPr>
                <w:rFonts w:ascii="Times New Roman" w:eastAsia="Times New Roman" w:hAnsi="Times New Roman" w:cs="Times New Roman"/>
                <w:b/>
                <w:bCs/>
                <w:sz w:val="16"/>
                <w:szCs w:val="16"/>
              </w:rPr>
              <w:t>Variables</w:t>
            </w:r>
          </w:p>
        </w:tc>
        <w:tc>
          <w:tcPr>
            <w:tcW w:w="5024" w:type="dxa"/>
          </w:tcPr>
          <w:p w:rsidR="00974B0F" w:rsidRPr="00974B0F" w:rsidRDefault="00974B0F" w:rsidP="00974B0F">
            <w:pPr>
              <w:jc w:val="center"/>
              <w:rPr>
                <w:rFonts w:ascii="Times New Roman" w:eastAsia="Times New Roman" w:hAnsi="Times New Roman" w:cs="Times New Roman"/>
                <w:b/>
                <w:bCs/>
                <w:sz w:val="16"/>
                <w:szCs w:val="16"/>
              </w:rPr>
            </w:pPr>
            <w:r w:rsidRPr="00974B0F">
              <w:rPr>
                <w:rFonts w:ascii="Times New Roman" w:eastAsia="Times New Roman" w:hAnsi="Times New Roman" w:cs="Times New Roman"/>
                <w:b/>
                <w:bCs/>
                <w:sz w:val="16"/>
                <w:szCs w:val="16"/>
              </w:rPr>
              <w:t>Definition and measure</w:t>
            </w:r>
          </w:p>
        </w:tc>
      </w:tr>
      <w:tr w:rsidR="00974B0F" w:rsidRPr="001725B3" w:rsidTr="00974B0F">
        <w:tc>
          <w:tcPr>
            <w:tcW w:w="3198" w:type="dxa"/>
          </w:tcPr>
          <w:p w:rsidR="00974B0F" w:rsidRPr="001725B3" w:rsidRDefault="00974B0F" w:rsidP="00750ED4">
            <w:pPr>
              <w:jc w:val="both"/>
              <w:rPr>
                <w:rFonts w:ascii="Times New Roman" w:eastAsia="Times New Roman" w:hAnsi="Times New Roman" w:cs="Times New Roman"/>
                <w:b/>
                <w:sz w:val="16"/>
                <w:szCs w:val="16"/>
                <w:lang w:val="en-US"/>
              </w:rPr>
            </w:pPr>
            <w:r w:rsidRPr="001725B3">
              <w:rPr>
                <w:rFonts w:ascii="Times New Roman" w:eastAsia="Times New Roman" w:hAnsi="Times New Roman" w:cs="Times New Roman"/>
                <w:b/>
                <w:sz w:val="16"/>
                <w:szCs w:val="16"/>
                <w:lang w:val="en-US"/>
              </w:rPr>
              <w:t>Dependent variables</w:t>
            </w:r>
          </w:p>
          <w:p w:rsidR="00974B0F" w:rsidRPr="001725B3" w:rsidRDefault="00974B0F" w:rsidP="00750ED4">
            <w:pPr>
              <w:jc w:val="both"/>
              <w:rPr>
                <w:rFonts w:ascii="Times New Roman" w:eastAsia="Times New Roman" w:hAnsi="Times New Roman" w:cs="Times New Roman"/>
                <w:sz w:val="16"/>
                <w:szCs w:val="16"/>
                <w:lang w:val="en-US"/>
              </w:rPr>
            </w:pPr>
            <w:r w:rsidRPr="001725B3">
              <w:rPr>
                <w:rFonts w:ascii="Times New Roman" w:eastAsia="Times New Roman" w:hAnsi="Times New Roman" w:cs="Times New Roman"/>
                <w:sz w:val="16"/>
                <w:szCs w:val="16"/>
                <w:lang w:val="en-US"/>
              </w:rPr>
              <w:t>- Tobin’s Q</w:t>
            </w:r>
          </w:p>
          <w:p w:rsidR="00974B0F" w:rsidRPr="001725B3" w:rsidRDefault="00974B0F" w:rsidP="00750ED4">
            <w:pPr>
              <w:jc w:val="both"/>
              <w:rPr>
                <w:rFonts w:ascii="Times New Roman" w:eastAsia="Times New Roman" w:hAnsi="Times New Roman" w:cs="Times New Roman"/>
                <w:sz w:val="16"/>
                <w:szCs w:val="16"/>
                <w:lang w:val="en-US"/>
              </w:rPr>
            </w:pPr>
          </w:p>
          <w:p w:rsidR="00974B0F" w:rsidRPr="001725B3" w:rsidRDefault="00974B0F" w:rsidP="00750ED4">
            <w:pPr>
              <w:jc w:val="both"/>
              <w:rPr>
                <w:rFonts w:ascii="Times New Roman" w:eastAsia="Times New Roman" w:hAnsi="Times New Roman" w:cs="Times New Roman"/>
                <w:sz w:val="16"/>
                <w:szCs w:val="16"/>
                <w:lang w:val="en-US"/>
              </w:rPr>
            </w:pPr>
          </w:p>
          <w:p w:rsidR="00974B0F" w:rsidRPr="001725B3" w:rsidRDefault="00974B0F" w:rsidP="00750ED4">
            <w:pPr>
              <w:jc w:val="both"/>
              <w:rPr>
                <w:rFonts w:ascii="Times New Roman" w:eastAsia="Times New Roman" w:hAnsi="Times New Roman" w:cs="Times New Roman"/>
                <w:sz w:val="16"/>
                <w:szCs w:val="16"/>
                <w:lang w:val="en-US"/>
              </w:rPr>
            </w:pPr>
            <w:r w:rsidRPr="001725B3">
              <w:rPr>
                <w:rFonts w:ascii="Times New Roman" w:eastAsia="Times New Roman" w:hAnsi="Times New Roman" w:cs="Times New Roman"/>
                <w:sz w:val="16"/>
                <w:szCs w:val="16"/>
                <w:lang w:val="en-US"/>
              </w:rPr>
              <w:t>- Return on assets</w:t>
            </w:r>
          </w:p>
          <w:p w:rsidR="00974B0F" w:rsidRPr="001725B3" w:rsidRDefault="00974B0F" w:rsidP="00750ED4">
            <w:pPr>
              <w:jc w:val="both"/>
              <w:rPr>
                <w:rFonts w:ascii="Times New Roman" w:eastAsia="Times New Roman" w:hAnsi="Times New Roman" w:cs="Times New Roman"/>
                <w:sz w:val="16"/>
                <w:szCs w:val="16"/>
                <w:lang w:val="en-US"/>
              </w:rPr>
            </w:pPr>
            <w:r w:rsidRPr="001725B3">
              <w:rPr>
                <w:rFonts w:ascii="Times New Roman" w:eastAsia="Times New Roman" w:hAnsi="Times New Roman" w:cs="Times New Roman"/>
                <w:sz w:val="16"/>
                <w:szCs w:val="16"/>
                <w:lang w:val="en-US"/>
              </w:rPr>
              <w:t>- Return on equity</w:t>
            </w:r>
          </w:p>
          <w:p w:rsidR="00974B0F" w:rsidRPr="001725B3" w:rsidRDefault="00974B0F" w:rsidP="00750ED4">
            <w:pPr>
              <w:jc w:val="both"/>
              <w:rPr>
                <w:rFonts w:ascii="Times New Roman" w:eastAsia="Times New Roman" w:hAnsi="Times New Roman" w:cs="Times New Roman"/>
                <w:b/>
                <w:sz w:val="16"/>
                <w:szCs w:val="16"/>
                <w:lang w:val="en-US"/>
              </w:rPr>
            </w:pPr>
            <w:r w:rsidRPr="001725B3">
              <w:rPr>
                <w:rFonts w:ascii="Times New Roman" w:eastAsia="Times New Roman" w:hAnsi="Times New Roman" w:cs="Times New Roman"/>
                <w:b/>
                <w:sz w:val="16"/>
                <w:szCs w:val="16"/>
                <w:lang w:val="en-US"/>
              </w:rPr>
              <w:t>Independent variable</w:t>
            </w:r>
          </w:p>
          <w:p w:rsidR="00974B0F" w:rsidRPr="001725B3" w:rsidRDefault="00974B0F" w:rsidP="00750ED4">
            <w:pPr>
              <w:jc w:val="both"/>
              <w:rPr>
                <w:rFonts w:ascii="Times New Roman" w:eastAsia="Times New Roman" w:hAnsi="Times New Roman" w:cs="Times New Roman"/>
                <w:sz w:val="16"/>
                <w:szCs w:val="16"/>
                <w:u w:val="single"/>
                <w:lang w:val="en-US"/>
              </w:rPr>
            </w:pPr>
            <w:r w:rsidRPr="001725B3">
              <w:rPr>
                <w:rFonts w:ascii="Times New Roman" w:eastAsia="Times New Roman" w:hAnsi="Times New Roman" w:cs="Times New Roman"/>
                <w:sz w:val="16"/>
                <w:szCs w:val="16"/>
                <w:u w:val="single"/>
                <w:lang w:val="en-US"/>
              </w:rPr>
              <w:t xml:space="preserve">Corporate </w:t>
            </w:r>
            <w:r w:rsidR="003335C2">
              <w:rPr>
                <w:rFonts w:ascii="Times New Roman" w:eastAsia="Times New Roman" w:hAnsi="Times New Roman" w:cs="Times New Roman"/>
                <w:sz w:val="16"/>
                <w:szCs w:val="16"/>
                <w:u w:val="single"/>
                <w:lang w:val="en-US"/>
              </w:rPr>
              <w:t xml:space="preserve"> </w:t>
            </w:r>
            <w:r w:rsidR="003335C2" w:rsidRPr="001725B3">
              <w:rPr>
                <w:rFonts w:ascii="Times New Roman" w:eastAsia="Times New Roman" w:hAnsi="Times New Roman" w:cs="Times New Roman"/>
                <w:sz w:val="16"/>
                <w:szCs w:val="16"/>
                <w:u w:val="single"/>
                <w:lang w:val="en-US"/>
              </w:rPr>
              <w:t>Governance</w:t>
            </w:r>
            <w:r w:rsidRPr="001725B3">
              <w:rPr>
                <w:rFonts w:ascii="Times New Roman" w:eastAsia="Times New Roman" w:hAnsi="Times New Roman" w:cs="Times New Roman"/>
                <w:sz w:val="16"/>
                <w:szCs w:val="16"/>
                <w:u w:val="single"/>
                <w:lang w:val="en-US"/>
              </w:rPr>
              <w:t xml:space="preserve"> </w:t>
            </w:r>
            <w:r w:rsidR="003335C2">
              <w:rPr>
                <w:rFonts w:ascii="Times New Roman" w:eastAsia="Times New Roman" w:hAnsi="Times New Roman" w:cs="Times New Roman"/>
                <w:sz w:val="16"/>
                <w:szCs w:val="16"/>
                <w:u w:val="single"/>
                <w:lang w:val="en-US"/>
              </w:rPr>
              <w:t xml:space="preserve"> </w:t>
            </w:r>
            <w:r w:rsidRPr="001725B3">
              <w:rPr>
                <w:rFonts w:ascii="Times New Roman" w:eastAsia="Times New Roman" w:hAnsi="Times New Roman" w:cs="Times New Roman"/>
                <w:sz w:val="16"/>
                <w:szCs w:val="16"/>
                <w:u w:val="single"/>
                <w:lang w:val="en-US"/>
              </w:rPr>
              <w:t>Disclosure Index</w:t>
            </w:r>
          </w:p>
          <w:p w:rsidR="00974B0F" w:rsidRPr="001725B3" w:rsidRDefault="00974B0F" w:rsidP="00750ED4">
            <w:pPr>
              <w:jc w:val="both"/>
              <w:rPr>
                <w:rFonts w:ascii="Times New Roman" w:eastAsia="Times New Roman" w:hAnsi="Times New Roman" w:cs="Times New Roman"/>
                <w:sz w:val="16"/>
                <w:szCs w:val="16"/>
                <w:u w:val="single"/>
                <w:lang w:val="en-US"/>
              </w:rPr>
            </w:pPr>
          </w:p>
          <w:p w:rsidR="00974B0F" w:rsidRPr="001725B3" w:rsidRDefault="00974B0F" w:rsidP="00750ED4">
            <w:pPr>
              <w:jc w:val="both"/>
              <w:rPr>
                <w:rFonts w:ascii="Times New Roman" w:eastAsia="Times New Roman" w:hAnsi="Times New Roman" w:cs="Times New Roman"/>
                <w:sz w:val="16"/>
                <w:szCs w:val="16"/>
                <w:u w:val="single"/>
                <w:lang w:val="en-US"/>
              </w:rPr>
            </w:pPr>
          </w:p>
          <w:p w:rsidR="00974B0F" w:rsidRPr="001725B3" w:rsidRDefault="00974B0F" w:rsidP="00750ED4">
            <w:pPr>
              <w:jc w:val="both"/>
              <w:rPr>
                <w:rFonts w:ascii="Times New Roman" w:eastAsia="Times New Roman" w:hAnsi="Times New Roman" w:cs="Times New Roman"/>
                <w:sz w:val="16"/>
                <w:szCs w:val="16"/>
                <w:u w:val="single"/>
                <w:lang w:val="en-US"/>
              </w:rPr>
            </w:pPr>
            <w:r w:rsidRPr="001725B3">
              <w:rPr>
                <w:rFonts w:ascii="Times New Roman" w:eastAsia="Times New Roman" w:hAnsi="Times New Roman" w:cs="Times New Roman"/>
                <w:sz w:val="16"/>
                <w:szCs w:val="16"/>
                <w:u w:val="single"/>
                <w:lang w:val="en-US"/>
              </w:rPr>
              <w:t>Bank-specific variables</w:t>
            </w:r>
          </w:p>
          <w:p w:rsidR="00974B0F" w:rsidRPr="001725B3" w:rsidRDefault="00974B0F" w:rsidP="00750ED4">
            <w:pPr>
              <w:jc w:val="both"/>
              <w:rPr>
                <w:rFonts w:ascii="Times New Roman" w:eastAsia="Times New Roman" w:hAnsi="Times New Roman" w:cs="Times New Roman"/>
                <w:sz w:val="16"/>
                <w:szCs w:val="16"/>
                <w:lang w:val="en-US"/>
              </w:rPr>
            </w:pPr>
            <w:r w:rsidRPr="001725B3">
              <w:rPr>
                <w:rFonts w:ascii="Times New Roman" w:eastAsia="Times New Roman" w:hAnsi="Times New Roman" w:cs="Times New Roman"/>
                <w:sz w:val="16"/>
                <w:szCs w:val="16"/>
                <w:lang w:val="en-US"/>
              </w:rPr>
              <w:t>- Size</w:t>
            </w:r>
          </w:p>
          <w:p w:rsidR="00974B0F" w:rsidRPr="001725B3" w:rsidRDefault="00974B0F" w:rsidP="00750ED4">
            <w:pPr>
              <w:jc w:val="both"/>
              <w:rPr>
                <w:rFonts w:ascii="Times New Roman" w:eastAsia="Times New Roman" w:hAnsi="Times New Roman" w:cs="Times New Roman"/>
                <w:sz w:val="16"/>
                <w:szCs w:val="16"/>
                <w:lang w:val="en-US"/>
              </w:rPr>
            </w:pPr>
            <w:r w:rsidRPr="001725B3">
              <w:rPr>
                <w:rFonts w:ascii="Times New Roman" w:eastAsia="Times New Roman" w:hAnsi="Times New Roman" w:cs="Times New Roman"/>
                <w:sz w:val="16"/>
                <w:szCs w:val="16"/>
                <w:lang w:val="en-US"/>
              </w:rPr>
              <w:t>- Bank equity</w:t>
            </w:r>
          </w:p>
          <w:p w:rsidR="00974B0F" w:rsidRPr="001725B3" w:rsidRDefault="00974B0F" w:rsidP="00750ED4">
            <w:pPr>
              <w:jc w:val="both"/>
              <w:rPr>
                <w:rFonts w:ascii="Times New Roman" w:eastAsia="Times New Roman" w:hAnsi="Times New Roman" w:cs="Times New Roman"/>
                <w:sz w:val="16"/>
                <w:szCs w:val="16"/>
                <w:lang w:val="en-US"/>
              </w:rPr>
            </w:pPr>
            <w:r w:rsidRPr="001725B3">
              <w:rPr>
                <w:rFonts w:ascii="Times New Roman" w:eastAsia="Times New Roman" w:hAnsi="Times New Roman" w:cs="Times New Roman"/>
                <w:sz w:val="16"/>
                <w:szCs w:val="16"/>
                <w:lang w:val="en-US"/>
              </w:rPr>
              <w:t>- Bank risk</w:t>
            </w:r>
          </w:p>
          <w:p w:rsidR="00974B0F" w:rsidRPr="001725B3" w:rsidRDefault="00974B0F" w:rsidP="00750ED4">
            <w:pPr>
              <w:jc w:val="both"/>
              <w:rPr>
                <w:rFonts w:ascii="Times New Roman" w:eastAsia="Times New Roman" w:hAnsi="Times New Roman" w:cs="Times New Roman"/>
                <w:sz w:val="16"/>
                <w:szCs w:val="16"/>
                <w:lang w:val="en-US"/>
              </w:rPr>
            </w:pPr>
          </w:p>
          <w:p w:rsidR="00974B0F" w:rsidRPr="001725B3" w:rsidRDefault="00974B0F" w:rsidP="00750ED4">
            <w:pPr>
              <w:jc w:val="both"/>
              <w:rPr>
                <w:rFonts w:ascii="Times New Roman" w:eastAsia="Times New Roman" w:hAnsi="Times New Roman" w:cs="Times New Roman"/>
                <w:sz w:val="16"/>
                <w:szCs w:val="16"/>
                <w:u w:val="single"/>
                <w:lang w:val="en-US"/>
              </w:rPr>
            </w:pPr>
            <w:r w:rsidRPr="001725B3">
              <w:rPr>
                <w:rFonts w:ascii="Times New Roman" w:eastAsia="Times New Roman" w:hAnsi="Times New Roman" w:cs="Times New Roman"/>
                <w:sz w:val="16"/>
                <w:szCs w:val="16"/>
                <w:u w:val="single"/>
                <w:lang w:val="en-US"/>
              </w:rPr>
              <w:t>Financial and Economic indicators</w:t>
            </w:r>
          </w:p>
          <w:p w:rsidR="00974B0F" w:rsidRPr="001725B3" w:rsidRDefault="00974B0F" w:rsidP="00750ED4">
            <w:pPr>
              <w:jc w:val="both"/>
              <w:rPr>
                <w:rFonts w:ascii="Times New Roman" w:eastAsia="Times New Roman" w:hAnsi="Times New Roman" w:cs="Times New Roman"/>
                <w:sz w:val="16"/>
                <w:szCs w:val="16"/>
                <w:lang w:val="en-US"/>
              </w:rPr>
            </w:pPr>
            <w:r w:rsidRPr="001725B3">
              <w:rPr>
                <w:rFonts w:ascii="Times New Roman" w:eastAsia="Times New Roman" w:hAnsi="Times New Roman" w:cs="Times New Roman"/>
                <w:sz w:val="16"/>
                <w:szCs w:val="16"/>
                <w:lang w:val="en-US"/>
              </w:rPr>
              <w:t>- Banking sector development</w:t>
            </w:r>
          </w:p>
          <w:p w:rsidR="00974B0F" w:rsidRPr="001725B3" w:rsidRDefault="00974B0F" w:rsidP="00750ED4">
            <w:pPr>
              <w:jc w:val="both"/>
              <w:rPr>
                <w:rFonts w:ascii="Times New Roman" w:eastAsia="Times New Roman" w:hAnsi="Times New Roman" w:cs="Times New Roman"/>
                <w:sz w:val="16"/>
                <w:szCs w:val="16"/>
                <w:lang w:val="en-US"/>
              </w:rPr>
            </w:pPr>
            <w:r w:rsidRPr="001725B3">
              <w:rPr>
                <w:rFonts w:ascii="Times New Roman" w:eastAsia="Times New Roman" w:hAnsi="Times New Roman" w:cs="Times New Roman"/>
                <w:sz w:val="16"/>
                <w:szCs w:val="16"/>
                <w:lang w:val="en-US"/>
              </w:rPr>
              <w:t>- Bank concentration</w:t>
            </w:r>
          </w:p>
          <w:p w:rsidR="00974B0F" w:rsidRPr="001725B3" w:rsidRDefault="00974B0F" w:rsidP="00750ED4">
            <w:pPr>
              <w:jc w:val="both"/>
              <w:rPr>
                <w:rFonts w:ascii="Times New Roman" w:eastAsia="Times New Roman" w:hAnsi="Times New Roman" w:cs="Times New Roman"/>
                <w:sz w:val="16"/>
                <w:szCs w:val="16"/>
                <w:lang w:val="en-US"/>
              </w:rPr>
            </w:pPr>
            <w:r w:rsidRPr="001725B3">
              <w:rPr>
                <w:rFonts w:ascii="Times New Roman" w:eastAsia="Times New Roman" w:hAnsi="Times New Roman" w:cs="Times New Roman"/>
                <w:sz w:val="16"/>
                <w:szCs w:val="16"/>
                <w:lang w:val="en-US"/>
              </w:rPr>
              <w:t>- Level of economic development</w:t>
            </w:r>
          </w:p>
          <w:p w:rsidR="00974B0F" w:rsidRPr="001725B3" w:rsidRDefault="00974B0F" w:rsidP="00750ED4">
            <w:pPr>
              <w:jc w:val="both"/>
              <w:rPr>
                <w:rFonts w:ascii="Times New Roman" w:eastAsia="Times New Roman" w:hAnsi="Times New Roman" w:cs="Times New Roman"/>
                <w:sz w:val="16"/>
                <w:szCs w:val="16"/>
              </w:rPr>
            </w:pPr>
            <w:r w:rsidRPr="001725B3">
              <w:rPr>
                <w:rFonts w:ascii="Times New Roman" w:eastAsia="Times New Roman" w:hAnsi="Times New Roman" w:cs="Times New Roman"/>
                <w:sz w:val="16"/>
                <w:szCs w:val="16"/>
              </w:rPr>
              <w:t>- Inflation</w:t>
            </w:r>
          </w:p>
        </w:tc>
        <w:tc>
          <w:tcPr>
            <w:tcW w:w="5024" w:type="dxa"/>
          </w:tcPr>
          <w:p w:rsidR="00974B0F" w:rsidRPr="001725B3" w:rsidRDefault="00974B0F" w:rsidP="00750ED4">
            <w:pPr>
              <w:jc w:val="both"/>
              <w:rPr>
                <w:rFonts w:ascii="Times New Roman" w:eastAsia="Times New Roman" w:hAnsi="Times New Roman" w:cs="Times New Roman"/>
                <w:sz w:val="16"/>
                <w:szCs w:val="16"/>
                <w:lang w:val="en-US"/>
              </w:rPr>
            </w:pPr>
          </w:p>
          <w:p w:rsidR="00974B0F" w:rsidRPr="001725B3" w:rsidRDefault="00974B0F" w:rsidP="00750ED4">
            <w:pPr>
              <w:jc w:val="both"/>
              <w:rPr>
                <w:rFonts w:ascii="Times New Roman" w:eastAsia="Times New Roman" w:hAnsi="Times New Roman" w:cs="Times New Roman"/>
                <w:sz w:val="16"/>
                <w:szCs w:val="16"/>
                <w:lang w:val="en-US"/>
              </w:rPr>
            </w:pPr>
            <w:r w:rsidRPr="001725B3">
              <w:rPr>
                <w:rFonts w:ascii="Times New Roman" w:eastAsia="Times New Roman" w:hAnsi="Times New Roman" w:cs="Times New Roman"/>
                <w:sz w:val="16"/>
                <w:szCs w:val="16"/>
                <w:lang w:val="en-US"/>
              </w:rPr>
              <w:t>Book value of total assets minus book value of common equity plus the market value of common equity divided by book value of total assets.</w:t>
            </w:r>
          </w:p>
          <w:p w:rsidR="00662E45" w:rsidRDefault="00662E45" w:rsidP="00750ED4">
            <w:pPr>
              <w:jc w:val="both"/>
              <w:rPr>
                <w:rFonts w:ascii="Times New Roman" w:eastAsia="Times New Roman" w:hAnsi="Times New Roman" w:cs="Times New Roman"/>
                <w:sz w:val="16"/>
                <w:szCs w:val="16"/>
                <w:lang w:val="en-US"/>
              </w:rPr>
            </w:pPr>
          </w:p>
          <w:p w:rsidR="00974B0F" w:rsidRPr="001725B3" w:rsidRDefault="00974B0F" w:rsidP="00750ED4">
            <w:pPr>
              <w:jc w:val="both"/>
              <w:rPr>
                <w:rFonts w:asciiTheme="majorBidi" w:hAnsiTheme="majorBidi" w:cstheme="majorBidi"/>
                <w:sz w:val="16"/>
                <w:szCs w:val="16"/>
                <w:lang w:val="en-US"/>
              </w:rPr>
            </w:pPr>
            <w:r w:rsidRPr="001725B3">
              <w:rPr>
                <w:rFonts w:ascii="Times New Roman" w:eastAsia="Times New Roman" w:hAnsi="Times New Roman" w:cs="Times New Roman"/>
                <w:sz w:val="16"/>
                <w:szCs w:val="16"/>
                <w:lang w:val="en-US"/>
              </w:rPr>
              <w:t>ROA: Net income divided by average total assets</w:t>
            </w:r>
            <w:r w:rsidRPr="001725B3">
              <w:rPr>
                <w:rFonts w:asciiTheme="majorBidi" w:hAnsiTheme="majorBidi" w:cstheme="majorBidi"/>
                <w:sz w:val="16"/>
                <w:szCs w:val="16"/>
                <w:lang w:val="en-US"/>
              </w:rPr>
              <w:t>.</w:t>
            </w:r>
          </w:p>
          <w:p w:rsidR="00974B0F" w:rsidRPr="001725B3" w:rsidRDefault="00974B0F" w:rsidP="00750ED4">
            <w:pPr>
              <w:jc w:val="both"/>
              <w:rPr>
                <w:rFonts w:ascii="Times New Roman" w:eastAsia="Times New Roman" w:hAnsi="Times New Roman" w:cs="Times New Roman"/>
                <w:sz w:val="16"/>
                <w:szCs w:val="16"/>
                <w:lang w:val="en-US"/>
              </w:rPr>
            </w:pPr>
            <w:r w:rsidRPr="001725B3">
              <w:rPr>
                <w:rFonts w:ascii="Times New Roman" w:eastAsia="Times New Roman" w:hAnsi="Times New Roman" w:cs="Times New Roman"/>
                <w:sz w:val="16"/>
                <w:szCs w:val="16"/>
                <w:lang w:val="en-US"/>
              </w:rPr>
              <w:t>ROE: Net income divided by book value of equity</w:t>
            </w:r>
          </w:p>
          <w:p w:rsidR="00974B0F" w:rsidRPr="001725B3" w:rsidRDefault="00974B0F" w:rsidP="00750ED4">
            <w:pPr>
              <w:jc w:val="both"/>
              <w:rPr>
                <w:rFonts w:ascii="Times New Roman" w:eastAsia="Times New Roman" w:hAnsi="Times New Roman" w:cs="Times New Roman"/>
                <w:sz w:val="16"/>
                <w:szCs w:val="16"/>
                <w:lang w:val="en-US"/>
              </w:rPr>
            </w:pPr>
          </w:p>
          <w:p w:rsidR="00974B0F" w:rsidRPr="001725B3" w:rsidRDefault="00974B0F" w:rsidP="00750ED4">
            <w:pPr>
              <w:jc w:val="both"/>
              <w:rPr>
                <w:rFonts w:ascii="Times New Roman" w:eastAsia="Times New Roman" w:hAnsi="Times New Roman" w:cs="Times New Roman"/>
                <w:sz w:val="16"/>
                <w:szCs w:val="16"/>
                <w:lang w:val="en-US"/>
              </w:rPr>
            </w:pPr>
            <w:r w:rsidRPr="001725B3">
              <w:rPr>
                <w:rFonts w:ascii="Times New Roman" w:eastAsia="Times New Roman" w:hAnsi="Times New Roman" w:cs="Times New Roman"/>
                <w:sz w:val="16"/>
                <w:szCs w:val="16"/>
                <w:lang w:val="en-US"/>
              </w:rPr>
              <w:t>CGDI: This index is calculated through a content analysis based on six components (63 items) extracted from the annual reports of the bank.</w:t>
            </w:r>
          </w:p>
          <w:p w:rsidR="00974B0F" w:rsidRPr="001725B3" w:rsidRDefault="00974B0F" w:rsidP="00750ED4">
            <w:pPr>
              <w:jc w:val="both"/>
              <w:rPr>
                <w:rFonts w:ascii="Times New Roman" w:eastAsia="Times New Roman" w:hAnsi="Times New Roman" w:cs="Times New Roman"/>
                <w:sz w:val="16"/>
                <w:szCs w:val="16"/>
                <w:lang w:val="en-US"/>
              </w:rPr>
            </w:pPr>
          </w:p>
          <w:p w:rsidR="00662E45" w:rsidRDefault="00662E45" w:rsidP="00750ED4">
            <w:pPr>
              <w:jc w:val="both"/>
              <w:rPr>
                <w:rFonts w:ascii="Times New Roman" w:eastAsia="Times New Roman" w:hAnsi="Times New Roman" w:cs="Times New Roman"/>
                <w:sz w:val="16"/>
                <w:szCs w:val="16"/>
                <w:lang w:val="en-US"/>
              </w:rPr>
            </w:pPr>
          </w:p>
          <w:p w:rsidR="00974B0F" w:rsidRPr="001725B3" w:rsidRDefault="00974B0F" w:rsidP="00750ED4">
            <w:pPr>
              <w:jc w:val="both"/>
              <w:rPr>
                <w:rFonts w:ascii="Times New Roman" w:eastAsia="Times New Roman" w:hAnsi="Times New Roman" w:cs="Times New Roman"/>
                <w:sz w:val="16"/>
                <w:szCs w:val="16"/>
                <w:lang w:val="en-US"/>
              </w:rPr>
            </w:pPr>
            <w:r w:rsidRPr="001725B3">
              <w:rPr>
                <w:rFonts w:ascii="Times New Roman" w:eastAsia="Times New Roman" w:hAnsi="Times New Roman" w:cs="Times New Roman"/>
                <w:sz w:val="16"/>
                <w:szCs w:val="16"/>
                <w:lang w:val="en-US"/>
              </w:rPr>
              <w:t>Natural logarithm of total assets.</w:t>
            </w:r>
          </w:p>
          <w:p w:rsidR="00974B0F" w:rsidRPr="001725B3" w:rsidRDefault="00974B0F" w:rsidP="00750ED4">
            <w:pPr>
              <w:jc w:val="both"/>
              <w:rPr>
                <w:rFonts w:ascii="Times New Roman" w:eastAsia="Times New Roman" w:hAnsi="Times New Roman" w:cs="Times New Roman"/>
                <w:sz w:val="16"/>
                <w:szCs w:val="16"/>
                <w:lang w:val="en-US"/>
              </w:rPr>
            </w:pPr>
            <w:r w:rsidRPr="001725B3">
              <w:rPr>
                <w:rFonts w:ascii="Times New Roman" w:eastAsia="Times New Roman" w:hAnsi="Times New Roman" w:cs="Times New Roman"/>
                <w:sz w:val="16"/>
                <w:szCs w:val="16"/>
                <w:lang w:val="en-US"/>
              </w:rPr>
              <w:t>Equity to total assets.</w:t>
            </w:r>
          </w:p>
          <w:p w:rsidR="00974B0F" w:rsidRPr="001725B3" w:rsidRDefault="00974B0F" w:rsidP="00750ED4">
            <w:pPr>
              <w:jc w:val="both"/>
              <w:rPr>
                <w:rFonts w:ascii="Times New Roman" w:eastAsia="Times New Roman" w:hAnsi="Times New Roman" w:cs="Times New Roman"/>
                <w:sz w:val="16"/>
                <w:szCs w:val="16"/>
                <w:lang w:val="en-US"/>
              </w:rPr>
            </w:pPr>
            <w:r w:rsidRPr="001725B3">
              <w:rPr>
                <w:rFonts w:ascii="Times New Roman" w:eastAsia="Times New Roman" w:hAnsi="Times New Roman" w:cs="Times New Roman"/>
                <w:sz w:val="16"/>
                <w:szCs w:val="16"/>
                <w:lang w:val="en-US"/>
              </w:rPr>
              <w:t>Net loans to total assets.</w:t>
            </w:r>
          </w:p>
          <w:p w:rsidR="00974B0F" w:rsidRPr="001725B3" w:rsidRDefault="00974B0F" w:rsidP="00750ED4">
            <w:pPr>
              <w:jc w:val="both"/>
              <w:rPr>
                <w:rFonts w:ascii="Times New Roman" w:eastAsia="Times New Roman" w:hAnsi="Times New Roman" w:cs="Times New Roman"/>
                <w:sz w:val="16"/>
                <w:szCs w:val="16"/>
                <w:lang w:val="en-US"/>
              </w:rPr>
            </w:pPr>
          </w:p>
          <w:p w:rsidR="00974B0F" w:rsidRPr="001725B3" w:rsidRDefault="00974B0F" w:rsidP="00750ED4">
            <w:pPr>
              <w:jc w:val="both"/>
              <w:rPr>
                <w:rFonts w:ascii="Times New Roman" w:eastAsia="Times New Roman" w:hAnsi="Times New Roman" w:cs="Times New Roman"/>
                <w:sz w:val="16"/>
                <w:szCs w:val="16"/>
                <w:lang w:val="en-US"/>
              </w:rPr>
            </w:pPr>
          </w:p>
          <w:p w:rsidR="00974B0F" w:rsidRPr="001725B3" w:rsidRDefault="00974B0F" w:rsidP="00750ED4">
            <w:pPr>
              <w:jc w:val="both"/>
              <w:rPr>
                <w:rFonts w:ascii="Times New Roman" w:eastAsia="Times New Roman" w:hAnsi="Times New Roman" w:cs="Times New Roman"/>
                <w:sz w:val="16"/>
                <w:szCs w:val="16"/>
                <w:lang w:val="en-US"/>
              </w:rPr>
            </w:pPr>
            <w:r w:rsidRPr="001725B3">
              <w:rPr>
                <w:rFonts w:ascii="Times New Roman" w:eastAsia="Times New Roman" w:hAnsi="Times New Roman" w:cs="Times New Roman"/>
                <w:sz w:val="16"/>
                <w:szCs w:val="16"/>
                <w:lang w:val="en-US"/>
              </w:rPr>
              <w:t>Credit to private sector/GDP</w:t>
            </w:r>
          </w:p>
          <w:p w:rsidR="00974B0F" w:rsidRPr="001725B3" w:rsidRDefault="00974B0F" w:rsidP="00750ED4">
            <w:pPr>
              <w:jc w:val="both"/>
              <w:rPr>
                <w:rFonts w:ascii="Times New Roman" w:eastAsia="Times New Roman" w:hAnsi="Times New Roman" w:cs="Times New Roman"/>
                <w:sz w:val="16"/>
                <w:szCs w:val="16"/>
                <w:lang w:val="en-US"/>
              </w:rPr>
            </w:pPr>
            <w:r w:rsidRPr="001725B3">
              <w:rPr>
                <w:rFonts w:ascii="Times New Roman" w:eastAsia="Times New Roman" w:hAnsi="Times New Roman" w:cs="Times New Roman"/>
                <w:sz w:val="16"/>
                <w:szCs w:val="16"/>
                <w:lang w:val="en-US"/>
              </w:rPr>
              <w:t>Assets of 3 largest banks to total assets of all banks in the country.</w:t>
            </w:r>
          </w:p>
          <w:p w:rsidR="00974B0F" w:rsidRPr="001725B3" w:rsidRDefault="00974B0F" w:rsidP="00750ED4">
            <w:pPr>
              <w:jc w:val="both"/>
              <w:rPr>
                <w:rFonts w:ascii="Times New Roman" w:eastAsia="Times New Roman" w:hAnsi="Times New Roman" w:cs="Times New Roman"/>
                <w:sz w:val="16"/>
                <w:szCs w:val="16"/>
                <w:lang w:val="en-US"/>
              </w:rPr>
            </w:pPr>
            <w:r w:rsidRPr="001725B3">
              <w:rPr>
                <w:rFonts w:ascii="Times New Roman" w:eastAsia="Times New Roman" w:hAnsi="Times New Roman" w:cs="Times New Roman"/>
                <w:sz w:val="16"/>
                <w:szCs w:val="16"/>
                <w:lang w:val="en-US"/>
              </w:rPr>
              <w:t>Annual real GDP growth</w:t>
            </w:r>
          </w:p>
          <w:p w:rsidR="00974B0F" w:rsidRPr="001725B3" w:rsidRDefault="00974B0F" w:rsidP="00750ED4">
            <w:pPr>
              <w:jc w:val="both"/>
              <w:rPr>
                <w:rFonts w:ascii="Times New Roman" w:eastAsia="Times New Roman" w:hAnsi="Times New Roman" w:cs="Times New Roman"/>
                <w:sz w:val="16"/>
                <w:szCs w:val="16"/>
                <w:lang w:val="en-US"/>
              </w:rPr>
            </w:pPr>
            <w:r w:rsidRPr="001725B3">
              <w:rPr>
                <w:rFonts w:ascii="Times New Roman" w:eastAsia="Times New Roman" w:hAnsi="Times New Roman" w:cs="Times New Roman"/>
                <w:sz w:val="16"/>
                <w:szCs w:val="16"/>
                <w:lang w:val="en-US"/>
              </w:rPr>
              <w:t>Growth of the consumer price index</w:t>
            </w:r>
          </w:p>
          <w:p w:rsidR="00974B0F" w:rsidRPr="001725B3" w:rsidRDefault="00974B0F" w:rsidP="00750ED4">
            <w:pPr>
              <w:jc w:val="both"/>
              <w:rPr>
                <w:rFonts w:ascii="Times New Roman" w:eastAsia="Times New Roman" w:hAnsi="Times New Roman" w:cs="Times New Roman"/>
                <w:sz w:val="16"/>
                <w:szCs w:val="16"/>
                <w:lang w:val="en-US"/>
              </w:rPr>
            </w:pPr>
          </w:p>
        </w:tc>
      </w:tr>
    </w:tbl>
    <w:p w:rsidR="00693AF8" w:rsidRPr="00974B0F" w:rsidRDefault="00693AF8" w:rsidP="00693AF8">
      <w:pPr>
        <w:jc w:val="both"/>
        <w:rPr>
          <w:rFonts w:asciiTheme="majorBidi" w:hAnsiTheme="majorBidi" w:cstheme="majorBidi"/>
        </w:rPr>
      </w:pPr>
    </w:p>
    <w:p w:rsidR="00662E45" w:rsidRDefault="00693AF8" w:rsidP="00662E45">
      <w:pPr>
        <w:spacing w:line="240" w:lineRule="exact"/>
        <w:ind w:right="-28" w:firstLine="244"/>
        <w:jc w:val="both"/>
        <w:rPr>
          <w:rFonts w:asciiTheme="majorBidi" w:hAnsiTheme="majorBidi" w:cstheme="majorBidi"/>
          <w:lang w:val="en-US"/>
        </w:rPr>
      </w:pPr>
      <w:r w:rsidRPr="00693AF8">
        <w:rPr>
          <w:rFonts w:asciiTheme="majorBidi" w:hAnsiTheme="majorBidi" w:cstheme="majorBidi"/>
          <w:lang w:val="en-US"/>
        </w:rPr>
        <w:t xml:space="preserve">As internal determinants, we consider three characteristics of banks related to bank size, bank equity and bank risk. Bank size is </w:t>
      </w:r>
      <w:proofErr w:type="spellStart"/>
      <w:r w:rsidRPr="00693AF8">
        <w:rPr>
          <w:rFonts w:asciiTheme="majorBidi" w:hAnsiTheme="majorBidi" w:cstheme="majorBidi"/>
          <w:lang w:val="en-US"/>
        </w:rPr>
        <w:t>proxied</w:t>
      </w:r>
      <w:proofErr w:type="spellEnd"/>
      <w:r w:rsidRPr="00693AF8">
        <w:rPr>
          <w:rFonts w:asciiTheme="majorBidi" w:hAnsiTheme="majorBidi" w:cstheme="majorBidi"/>
          <w:lang w:val="en-US"/>
        </w:rPr>
        <w:t xml:space="preserve"> by the logarithm of total bank assets in million of US dollars. Size might be an important determinant of bank performance if there are increasing returns to scale in banking. Bank equity is calculated as the book value of equity divided by total assets. According to the banking literature, this variable may influence bank performance positively. Bank risk is measured by the ratio of net loans to total assets. Theory suggests that increased exposure to credit risk is normally associated with decreased profitability. However, if borrowers are able to repay debt and interests, we can say that the higher this ratio, the higher the performance of banks (</w:t>
      </w:r>
      <w:proofErr w:type="spellStart"/>
      <w:r w:rsidRPr="00693AF8">
        <w:rPr>
          <w:rFonts w:asciiTheme="majorBidi" w:hAnsiTheme="majorBidi" w:cstheme="majorBidi"/>
          <w:lang w:val="en-US"/>
        </w:rPr>
        <w:t>Srairi</w:t>
      </w:r>
      <w:proofErr w:type="spellEnd"/>
      <w:r w:rsidRPr="00693AF8">
        <w:rPr>
          <w:rFonts w:asciiTheme="majorBidi" w:hAnsiTheme="majorBidi" w:cstheme="majorBidi"/>
          <w:lang w:val="en-US"/>
        </w:rPr>
        <w:t xml:space="preserve">, 2009). </w:t>
      </w:r>
    </w:p>
    <w:p w:rsidR="00693AF8" w:rsidRPr="00693AF8" w:rsidRDefault="00693AF8" w:rsidP="00662E45">
      <w:pPr>
        <w:spacing w:line="240" w:lineRule="exact"/>
        <w:ind w:right="-28" w:firstLine="244"/>
        <w:jc w:val="both"/>
        <w:rPr>
          <w:rFonts w:asciiTheme="majorBidi" w:hAnsiTheme="majorBidi" w:cstheme="majorBidi"/>
          <w:lang w:val="en-US"/>
        </w:rPr>
      </w:pPr>
      <w:r w:rsidRPr="00693AF8">
        <w:rPr>
          <w:rFonts w:asciiTheme="majorBidi" w:hAnsiTheme="majorBidi" w:cstheme="majorBidi"/>
          <w:lang w:val="en-US"/>
        </w:rPr>
        <w:t xml:space="preserve">Regarding external determinants, we choose two vectors of variables related to financial industry and macroeconomic environment. As financial industry variables, we examine the impact of banking sector development and the bank concentration. The first variable is </w:t>
      </w:r>
      <w:proofErr w:type="spellStart"/>
      <w:r w:rsidRPr="00693AF8">
        <w:rPr>
          <w:rFonts w:asciiTheme="majorBidi" w:hAnsiTheme="majorBidi" w:cstheme="majorBidi"/>
          <w:lang w:val="en-US"/>
        </w:rPr>
        <w:t>proxied</w:t>
      </w:r>
      <w:proofErr w:type="spellEnd"/>
      <w:r w:rsidRPr="00693AF8">
        <w:rPr>
          <w:rFonts w:asciiTheme="majorBidi" w:hAnsiTheme="majorBidi" w:cstheme="majorBidi"/>
          <w:lang w:val="en-US"/>
        </w:rPr>
        <w:t xml:space="preserve"> by credit to private sector divided by GDP. This ratio is expected to impact performance positively. Bank concentration is represented by the fraction of bank assets held by the three largest banks in the country. We expect that a highly concentrated market may have a negative impact on bank performance. We control also for the level of economic development. Two macroeconomic indicators are used: GDP per capita and inflation (measured by the growth of the consumer price index). The first indicator is expected to have a positive impact on bank’s performance. However the association between inflation and performance is ambiguous in the banking literature.</w:t>
      </w:r>
    </w:p>
    <w:p w:rsidR="00693AF8" w:rsidRPr="00693AF8" w:rsidRDefault="00693AF8" w:rsidP="00662E45">
      <w:pPr>
        <w:spacing w:line="240" w:lineRule="exact"/>
        <w:ind w:right="-28" w:firstLine="244"/>
        <w:jc w:val="both"/>
        <w:rPr>
          <w:rFonts w:asciiTheme="majorBidi" w:hAnsiTheme="majorBidi" w:cstheme="majorBidi"/>
          <w:lang w:val="en-US"/>
        </w:rPr>
      </w:pPr>
      <w:r w:rsidRPr="00693AF8">
        <w:rPr>
          <w:rFonts w:asciiTheme="majorBidi" w:hAnsiTheme="majorBidi" w:cstheme="majorBidi"/>
          <w:lang w:val="en-US"/>
        </w:rPr>
        <w:t>To estimate the impact of corporate governance on Islamic bank performance, we used multiple regression analysis and we estimated the following linear model:</w:t>
      </w:r>
    </w:p>
    <w:p w:rsidR="00693AF8" w:rsidRPr="00693AF8" w:rsidRDefault="00693AF8" w:rsidP="003550E0">
      <w:pPr>
        <w:ind w:firstLine="244"/>
        <w:jc w:val="both"/>
        <w:rPr>
          <w:rFonts w:asciiTheme="majorBidi" w:hAnsiTheme="majorBidi" w:cstheme="majorBidi"/>
          <w:lang w:val="en-US"/>
        </w:rPr>
      </w:pPr>
      <w:proofErr w:type="spellStart"/>
      <w:r w:rsidRPr="00693AF8">
        <w:rPr>
          <w:rFonts w:asciiTheme="majorBidi" w:hAnsiTheme="majorBidi" w:cstheme="majorBidi"/>
          <w:lang w:val="en-US"/>
        </w:rPr>
        <w:t>Performance</w:t>
      </w:r>
      <w:r w:rsidRPr="00693AF8">
        <w:rPr>
          <w:rFonts w:asciiTheme="majorBidi" w:hAnsiTheme="majorBidi" w:cstheme="majorBidi"/>
          <w:vertAlign w:val="subscript"/>
          <w:lang w:val="en-US"/>
        </w:rPr>
        <w:t>it</w:t>
      </w:r>
      <w:proofErr w:type="spellEnd"/>
      <w:r w:rsidRPr="00693AF8">
        <w:rPr>
          <w:rFonts w:asciiTheme="majorBidi" w:hAnsiTheme="majorBidi" w:cstheme="majorBidi"/>
          <w:lang w:val="en-US"/>
        </w:rPr>
        <w:t xml:space="preserve"> = </w:t>
      </w:r>
      <w:proofErr w:type="gramStart"/>
      <w:r w:rsidRPr="00693AF8">
        <w:rPr>
          <w:rFonts w:asciiTheme="majorBidi" w:hAnsiTheme="majorBidi" w:cstheme="majorBidi"/>
          <w:lang w:val="en-US"/>
        </w:rPr>
        <w:t>f(</w:t>
      </w:r>
      <w:proofErr w:type="spellStart"/>
      <w:proofErr w:type="gramEnd"/>
      <w:r w:rsidRPr="00693AF8">
        <w:rPr>
          <w:rFonts w:asciiTheme="majorBidi" w:hAnsiTheme="majorBidi" w:cstheme="majorBidi"/>
          <w:lang w:val="en-US"/>
        </w:rPr>
        <w:t>CGDI</w:t>
      </w:r>
      <w:r w:rsidRPr="00693AF8">
        <w:rPr>
          <w:rFonts w:asciiTheme="majorBidi" w:hAnsiTheme="majorBidi" w:cstheme="majorBidi"/>
          <w:vertAlign w:val="subscript"/>
          <w:lang w:val="en-US"/>
        </w:rPr>
        <w:t>i</w:t>
      </w:r>
      <w:proofErr w:type="spellEnd"/>
      <w:r w:rsidRPr="00693AF8">
        <w:rPr>
          <w:rFonts w:asciiTheme="majorBidi" w:hAnsiTheme="majorBidi" w:cstheme="majorBidi"/>
          <w:vertAlign w:val="subscript"/>
          <w:lang w:val="en-US"/>
        </w:rPr>
        <w:t>, t</w:t>
      </w:r>
      <w:r w:rsidRPr="00693AF8">
        <w:rPr>
          <w:rFonts w:asciiTheme="majorBidi" w:hAnsiTheme="majorBidi" w:cstheme="majorBidi"/>
          <w:lang w:val="en-US"/>
        </w:rPr>
        <w:t xml:space="preserve">, Bank level </w:t>
      </w:r>
      <w:proofErr w:type="spellStart"/>
      <w:r w:rsidRPr="00693AF8">
        <w:rPr>
          <w:rFonts w:asciiTheme="majorBidi" w:hAnsiTheme="majorBidi" w:cstheme="majorBidi"/>
          <w:lang w:val="en-US"/>
        </w:rPr>
        <w:t>control</w:t>
      </w:r>
      <w:r w:rsidRPr="00693AF8">
        <w:rPr>
          <w:rFonts w:asciiTheme="majorBidi" w:hAnsiTheme="majorBidi" w:cstheme="majorBidi"/>
          <w:vertAlign w:val="subscript"/>
          <w:lang w:val="en-US"/>
        </w:rPr>
        <w:t>i,t</w:t>
      </w:r>
      <w:proofErr w:type="spellEnd"/>
      <w:r w:rsidRPr="00693AF8">
        <w:rPr>
          <w:rFonts w:asciiTheme="majorBidi" w:hAnsiTheme="majorBidi" w:cstheme="majorBidi"/>
          <w:lang w:val="en-US"/>
        </w:rPr>
        <w:t xml:space="preserve">, Country level </w:t>
      </w:r>
      <w:proofErr w:type="spellStart"/>
      <w:r w:rsidRPr="00693AF8">
        <w:rPr>
          <w:rFonts w:asciiTheme="majorBidi" w:hAnsiTheme="majorBidi" w:cstheme="majorBidi"/>
          <w:lang w:val="en-US"/>
        </w:rPr>
        <w:t>control</w:t>
      </w:r>
      <w:r w:rsidRPr="00693AF8">
        <w:rPr>
          <w:rFonts w:asciiTheme="majorBidi" w:hAnsiTheme="majorBidi" w:cstheme="majorBidi"/>
          <w:vertAlign w:val="subscript"/>
          <w:lang w:val="en-US"/>
        </w:rPr>
        <w:t>t</w:t>
      </w:r>
      <w:proofErr w:type="spellEnd"/>
      <w:r w:rsidRPr="00693AF8">
        <w:rPr>
          <w:rFonts w:asciiTheme="majorBidi" w:hAnsiTheme="majorBidi" w:cstheme="majorBidi"/>
          <w:vertAlign w:val="subscript"/>
          <w:lang w:val="en-US"/>
        </w:rPr>
        <w:t>,</w:t>
      </w:r>
      <w:r w:rsidRPr="00693AF8">
        <w:rPr>
          <w:rFonts w:asciiTheme="majorBidi" w:hAnsiTheme="majorBidi" w:cstheme="majorBidi"/>
          <w:lang w:val="en-US"/>
        </w:rPr>
        <w:t xml:space="preserve">) + </w:t>
      </w:r>
      <w:r w:rsidRPr="00693AF8">
        <w:rPr>
          <w:rFonts w:asciiTheme="majorBidi" w:hAnsiTheme="majorBidi" w:cstheme="majorBidi"/>
        </w:rPr>
        <w:t>ε</w:t>
      </w:r>
      <w:r w:rsidRPr="00693AF8">
        <w:rPr>
          <w:rFonts w:asciiTheme="majorBidi" w:hAnsiTheme="majorBidi" w:cstheme="majorBidi"/>
          <w:lang w:val="en-US"/>
        </w:rPr>
        <w:tab/>
        <w:t>(1)</w:t>
      </w:r>
    </w:p>
    <w:p w:rsidR="00693AF8" w:rsidRPr="00693AF8" w:rsidRDefault="00693AF8" w:rsidP="00662E45">
      <w:pPr>
        <w:spacing w:line="240" w:lineRule="exact"/>
        <w:ind w:right="-28" w:firstLine="244"/>
        <w:jc w:val="both"/>
        <w:rPr>
          <w:rFonts w:asciiTheme="majorBidi" w:hAnsiTheme="majorBidi" w:cstheme="majorBidi"/>
          <w:lang w:val="en-US"/>
        </w:rPr>
      </w:pPr>
      <w:r w:rsidRPr="00693AF8">
        <w:rPr>
          <w:rFonts w:asciiTheme="majorBidi" w:hAnsiTheme="majorBidi" w:cstheme="majorBidi"/>
          <w:lang w:val="en-US"/>
        </w:rPr>
        <w:t xml:space="preserve">Where i subscripts the bank, t denotes the time dimension, performance as an dependent variable is measured by Tobin’s Q, ROA and ROE, CGDI represents the corporate governance disclosure index for each bank, bank level control is a vector representing bank size, bank equity and bank risk, country level control includes banking sector development, bank concentration, two macroeconomic indicators (GDP per capita and inflation) and </w:t>
      </w:r>
      <w:r w:rsidRPr="00693AF8">
        <w:rPr>
          <w:rFonts w:asciiTheme="majorBidi" w:hAnsiTheme="majorBidi" w:cstheme="majorBidi"/>
        </w:rPr>
        <w:t>ε</w:t>
      </w:r>
      <w:r w:rsidRPr="00693AF8">
        <w:rPr>
          <w:rFonts w:asciiTheme="majorBidi" w:hAnsiTheme="majorBidi" w:cstheme="majorBidi"/>
          <w:lang w:val="en-US"/>
        </w:rPr>
        <w:t xml:space="preserve"> is the random error term.</w:t>
      </w:r>
    </w:p>
    <w:p w:rsidR="00693AF8" w:rsidRPr="00693AF8" w:rsidRDefault="00693AF8" w:rsidP="00662E45">
      <w:pPr>
        <w:spacing w:line="240" w:lineRule="exact"/>
        <w:ind w:right="-28" w:firstLine="244"/>
        <w:jc w:val="both"/>
        <w:rPr>
          <w:rFonts w:asciiTheme="majorBidi" w:hAnsiTheme="majorBidi" w:cstheme="majorBidi"/>
          <w:lang w:val="en-US"/>
        </w:rPr>
      </w:pPr>
      <w:r w:rsidRPr="00693AF8">
        <w:rPr>
          <w:rFonts w:asciiTheme="majorBidi" w:hAnsiTheme="majorBidi" w:cstheme="majorBidi"/>
          <w:lang w:val="en-US"/>
        </w:rPr>
        <w:t xml:space="preserve">In estimating the above equation, we use the OLS technique. In presence of panel data, we have attempted to apply fixed effect or random effect models, but neither of those was appropriate with our data </w:t>
      </w:r>
      <w:r w:rsidRPr="00693AF8">
        <w:rPr>
          <w:rFonts w:asciiTheme="majorBidi" w:hAnsiTheme="majorBidi" w:cstheme="majorBidi"/>
          <w:lang w:val="en-US"/>
        </w:rPr>
        <w:lastRenderedPageBreak/>
        <w:t xml:space="preserve">for several reasons. First, our main variable, CGDI, used in this equation does not vary much over time for each time. Second, our model contains many variables like banking sector development, bank concentration and macroeconomic indicators, which are the same for all banks in a country for a specific year. Then, according to </w:t>
      </w:r>
      <w:proofErr w:type="spellStart"/>
      <w:r w:rsidRPr="00693AF8">
        <w:rPr>
          <w:rFonts w:asciiTheme="majorBidi" w:hAnsiTheme="majorBidi" w:cstheme="majorBidi"/>
          <w:lang w:val="en-US"/>
        </w:rPr>
        <w:t>Baltagi</w:t>
      </w:r>
      <w:proofErr w:type="spellEnd"/>
      <w:r w:rsidRPr="00693AF8">
        <w:rPr>
          <w:rFonts w:asciiTheme="majorBidi" w:hAnsiTheme="majorBidi" w:cstheme="majorBidi"/>
          <w:lang w:val="en-US"/>
        </w:rPr>
        <w:t xml:space="preserve"> (2005), applying fixed-effect estimation would lead to massive loss of the degrees of freedom.</w:t>
      </w:r>
    </w:p>
    <w:p w:rsidR="00662E45" w:rsidRDefault="00662E45" w:rsidP="00693AF8">
      <w:pPr>
        <w:jc w:val="both"/>
        <w:rPr>
          <w:rFonts w:asciiTheme="majorBidi" w:hAnsiTheme="majorBidi" w:cstheme="majorBidi"/>
          <w:b/>
          <w:bCs/>
          <w:lang w:val="en-US"/>
        </w:rPr>
      </w:pPr>
    </w:p>
    <w:p w:rsidR="00693AF8" w:rsidRPr="005F04A8" w:rsidRDefault="00693AF8" w:rsidP="00693AF8">
      <w:pPr>
        <w:jc w:val="both"/>
        <w:rPr>
          <w:rFonts w:asciiTheme="majorBidi" w:hAnsiTheme="majorBidi" w:cstheme="majorBidi"/>
          <w:lang w:val="en-US"/>
        </w:rPr>
      </w:pPr>
      <w:r w:rsidRPr="005F04A8">
        <w:rPr>
          <w:rFonts w:asciiTheme="majorBidi" w:hAnsiTheme="majorBidi" w:cstheme="majorBidi"/>
          <w:lang w:val="en-US"/>
        </w:rPr>
        <w:t xml:space="preserve">3.3. Sources of Data </w:t>
      </w:r>
    </w:p>
    <w:p w:rsidR="00662E45" w:rsidRDefault="00662E45" w:rsidP="00693AF8">
      <w:pPr>
        <w:jc w:val="both"/>
        <w:rPr>
          <w:rFonts w:asciiTheme="majorBidi" w:hAnsiTheme="majorBidi" w:cstheme="majorBidi"/>
          <w:lang w:val="en-US"/>
        </w:rPr>
      </w:pPr>
    </w:p>
    <w:p w:rsidR="00693AF8" w:rsidRPr="00693AF8" w:rsidRDefault="00693AF8" w:rsidP="00693AF8">
      <w:pPr>
        <w:jc w:val="both"/>
        <w:rPr>
          <w:rFonts w:asciiTheme="majorBidi" w:hAnsiTheme="majorBidi" w:cstheme="majorBidi"/>
          <w:lang w:val="en-US"/>
        </w:rPr>
      </w:pPr>
      <w:r w:rsidRPr="00693AF8">
        <w:rPr>
          <w:rFonts w:asciiTheme="majorBidi" w:hAnsiTheme="majorBidi" w:cstheme="majorBidi"/>
          <w:lang w:val="en-US"/>
        </w:rPr>
        <w:t>Our samplecomprises27 commercial Islamic banks operating in five GCC countries with 6 banks in Bahrain, 8 banks in Kuwait, 3 banks in Qatar, 3 banks in Saudi Arabia, and 7 banks in the United Arab Emirates. The period covered by the study is 2011-2013. We only sampled banks with a minimum of three consecutive annual reports which are available on their website. The</w:t>
      </w:r>
      <w:r w:rsidR="003335C2">
        <w:rPr>
          <w:rFonts w:asciiTheme="majorBidi" w:hAnsiTheme="majorBidi" w:cstheme="majorBidi"/>
          <w:lang w:val="en-US"/>
        </w:rPr>
        <w:t xml:space="preserve"> </w:t>
      </w:r>
      <w:r w:rsidRPr="00693AF8">
        <w:rPr>
          <w:rFonts w:asciiTheme="majorBidi" w:hAnsiTheme="majorBidi" w:cstheme="majorBidi"/>
          <w:lang w:val="en-US"/>
        </w:rPr>
        <w:t xml:space="preserve">financial and accounting information of Islamic banks are collected from the </w:t>
      </w:r>
      <w:proofErr w:type="spellStart"/>
      <w:r w:rsidRPr="00693AF8">
        <w:rPr>
          <w:rFonts w:asciiTheme="majorBidi" w:hAnsiTheme="majorBidi" w:cstheme="majorBidi"/>
          <w:lang w:val="en-US"/>
        </w:rPr>
        <w:t>B</w:t>
      </w:r>
      <w:r w:rsidR="003335C2">
        <w:rPr>
          <w:rFonts w:asciiTheme="majorBidi" w:hAnsiTheme="majorBidi" w:cstheme="majorBidi"/>
          <w:lang w:val="en-US"/>
        </w:rPr>
        <w:t>ankscope</w:t>
      </w:r>
      <w:proofErr w:type="spellEnd"/>
      <w:r w:rsidR="003335C2">
        <w:rPr>
          <w:rFonts w:asciiTheme="majorBidi" w:hAnsiTheme="majorBidi" w:cstheme="majorBidi"/>
          <w:lang w:val="en-US"/>
        </w:rPr>
        <w:t xml:space="preserve"> database of Van </w:t>
      </w:r>
      <w:proofErr w:type="spellStart"/>
      <w:r w:rsidR="003335C2">
        <w:rPr>
          <w:rFonts w:asciiTheme="majorBidi" w:hAnsiTheme="majorBidi" w:cstheme="majorBidi"/>
          <w:lang w:val="en-US"/>
        </w:rPr>
        <w:t>Dijk’s</w:t>
      </w:r>
      <w:proofErr w:type="spellEnd"/>
      <w:r w:rsidR="003335C2">
        <w:rPr>
          <w:rFonts w:asciiTheme="majorBidi" w:hAnsiTheme="majorBidi" w:cstheme="majorBidi"/>
          <w:lang w:val="en-US"/>
        </w:rPr>
        <w:t xml:space="preserve"> B</w:t>
      </w:r>
      <w:r w:rsidRPr="00693AF8">
        <w:rPr>
          <w:rFonts w:asciiTheme="majorBidi" w:hAnsiTheme="majorBidi" w:cstheme="majorBidi"/>
          <w:lang w:val="en-US"/>
        </w:rPr>
        <w:t>ureau.</w:t>
      </w:r>
      <w:r w:rsidR="003335C2">
        <w:rPr>
          <w:rFonts w:asciiTheme="majorBidi" w:hAnsiTheme="majorBidi" w:cstheme="majorBidi"/>
          <w:lang w:val="en-US"/>
        </w:rPr>
        <w:t xml:space="preserve"> </w:t>
      </w:r>
      <w:r w:rsidRPr="00693AF8">
        <w:rPr>
          <w:rFonts w:asciiTheme="majorBidi" w:hAnsiTheme="majorBidi" w:cstheme="majorBidi"/>
          <w:lang w:val="en-US"/>
        </w:rPr>
        <w:t>The annual stock prices of banks are obtained from the financial market in each country. The sources of macroeconomic data and the structure of banking industry for the GCC countries are the annual reports of the central banks of the respective countries and the International Financial Statistics (IFS).</w:t>
      </w:r>
    </w:p>
    <w:p w:rsidR="00693AF8" w:rsidRPr="00693AF8" w:rsidRDefault="00693AF8" w:rsidP="00693AF8">
      <w:pPr>
        <w:jc w:val="both"/>
        <w:rPr>
          <w:rFonts w:asciiTheme="majorBidi" w:hAnsiTheme="majorBidi" w:cstheme="majorBidi"/>
          <w:lang w:val="en-US"/>
        </w:rPr>
      </w:pPr>
      <w:r w:rsidRPr="00693AF8">
        <w:rPr>
          <w:rFonts w:asciiTheme="majorBidi" w:hAnsiTheme="majorBidi" w:cstheme="majorBidi"/>
          <w:lang w:val="en-US"/>
        </w:rPr>
        <w:t>Since Gulf countries have different currencies, all the annual financial values are converted in US dollar using the appropriate average exchange rates for each year. Also, to ensure comparability of data across countries, all values are deflated to the year 2011 using each country’s consumer price index (CPI).</w:t>
      </w:r>
    </w:p>
    <w:p w:rsidR="00662E45" w:rsidRDefault="00662E45" w:rsidP="00693AF8">
      <w:pPr>
        <w:jc w:val="both"/>
        <w:rPr>
          <w:rFonts w:asciiTheme="majorBidi" w:hAnsiTheme="majorBidi" w:cstheme="majorBidi"/>
          <w:b/>
          <w:lang w:val="en-US"/>
        </w:rPr>
      </w:pPr>
    </w:p>
    <w:p w:rsidR="00693AF8" w:rsidRPr="00693AF8" w:rsidRDefault="00693AF8" w:rsidP="00693AF8">
      <w:pPr>
        <w:jc w:val="both"/>
        <w:rPr>
          <w:rFonts w:asciiTheme="majorBidi" w:hAnsiTheme="majorBidi" w:cstheme="majorBidi"/>
          <w:b/>
          <w:lang w:val="en-US"/>
        </w:rPr>
      </w:pPr>
      <w:r w:rsidRPr="00693AF8">
        <w:rPr>
          <w:rFonts w:asciiTheme="majorBidi" w:hAnsiTheme="majorBidi" w:cstheme="majorBidi"/>
          <w:b/>
          <w:lang w:val="en-US"/>
        </w:rPr>
        <w:t>4. Empirical results</w:t>
      </w:r>
    </w:p>
    <w:p w:rsidR="00662E45" w:rsidRDefault="00662E45" w:rsidP="00693AF8">
      <w:pPr>
        <w:jc w:val="both"/>
        <w:rPr>
          <w:rFonts w:asciiTheme="majorBidi" w:hAnsiTheme="majorBidi" w:cstheme="majorBidi"/>
          <w:b/>
          <w:lang w:val="en-US"/>
        </w:rPr>
      </w:pPr>
    </w:p>
    <w:p w:rsidR="00693AF8" w:rsidRPr="005F04A8" w:rsidRDefault="00693AF8" w:rsidP="00693AF8">
      <w:pPr>
        <w:jc w:val="both"/>
        <w:rPr>
          <w:rFonts w:asciiTheme="majorBidi" w:hAnsiTheme="majorBidi" w:cstheme="majorBidi"/>
          <w:bCs/>
          <w:lang w:val="en-US"/>
        </w:rPr>
      </w:pPr>
      <w:r w:rsidRPr="005F04A8">
        <w:rPr>
          <w:rFonts w:asciiTheme="majorBidi" w:hAnsiTheme="majorBidi" w:cstheme="majorBidi"/>
          <w:bCs/>
          <w:lang w:val="en-US"/>
        </w:rPr>
        <w:t>4.1. Descriptive statistics of corporate governance index and its components</w:t>
      </w:r>
    </w:p>
    <w:p w:rsidR="00662E45" w:rsidRDefault="00662E45" w:rsidP="00693AF8">
      <w:pPr>
        <w:jc w:val="both"/>
        <w:rPr>
          <w:rFonts w:asciiTheme="majorBidi" w:hAnsiTheme="majorBidi" w:cstheme="majorBidi"/>
          <w:color w:val="000000"/>
          <w:lang w:val="en-US"/>
        </w:rPr>
      </w:pPr>
    </w:p>
    <w:p w:rsidR="00693AF8" w:rsidRPr="00693AF8" w:rsidRDefault="00693AF8" w:rsidP="00246EAA">
      <w:pPr>
        <w:spacing w:line="240" w:lineRule="exact"/>
        <w:ind w:right="-28" w:firstLine="244"/>
        <w:jc w:val="both"/>
        <w:rPr>
          <w:rFonts w:asciiTheme="majorBidi" w:hAnsiTheme="majorBidi" w:cstheme="majorBidi"/>
          <w:color w:val="000000"/>
          <w:lang w:val="en-US"/>
        </w:rPr>
      </w:pPr>
      <w:r w:rsidRPr="00693AF8">
        <w:rPr>
          <w:rFonts w:asciiTheme="majorBidi" w:hAnsiTheme="majorBidi" w:cstheme="majorBidi"/>
          <w:color w:val="000000"/>
          <w:lang w:val="en-US"/>
        </w:rPr>
        <w:t>Table 2</w:t>
      </w:r>
      <w:r w:rsidR="00246EAA">
        <w:rPr>
          <w:rFonts w:asciiTheme="majorBidi" w:hAnsiTheme="majorBidi" w:cstheme="majorBidi"/>
          <w:color w:val="000000"/>
          <w:lang w:val="en-US"/>
        </w:rPr>
        <w:t xml:space="preserve"> </w:t>
      </w:r>
      <w:r w:rsidRPr="00693AF8">
        <w:rPr>
          <w:rFonts w:asciiTheme="majorBidi" w:hAnsiTheme="majorBidi" w:cstheme="majorBidi"/>
          <w:color w:val="000000"/>
          <w:lang w:val="en-US"/>
        </w:rPr>
        <w:t>presents the summary statistics of total corporate governance index (CGDI) and its 6 dimensions. These figures are based on the averages of three years 2011, 2012 and 2013. The overall mean value of CGDI is 54% and it ranges from 43% to 61%. It means that the Islamic banks in the sample comply with 54% of the internal mechanisms of corporate governance studied in this paper. The range of overall CGDI is 18%, which shows that there are wide variations in terms of governance quality among Islamic banks in GCC countries. This is also confirmed with the higher CGDI standard deviation of 11%. However, the average rating of CGDI shows that the majority of Islamic banks adhere to factors considered as ideal for ensuring a better corporate governance aspect. Further, it can be observed from table 2 that the mean and median are similar suggesting that the distribution of CGDI is symmetric.</w:t>
      </w:r>
    </w:p>
    <w:p w:rsidR="00246EAA" w:rsidRDefault="00693AF8" w:rsidP="00693AF8">
      <w:pPr>
        <w:jc w:val="both"/>
        <w:rPr>
          <w:rFonts w:asciiTheme="majorBidi" w:hAnsiTheme="majorBidi" w:cstheme="majorBidi"/>
          <w:color w:val="000000"/>
          <w:lang w:val="en-US"/>
        </w:rPr>
      </w:pPr>
      <w:r w:rsidRPr="00693AF8">
        <w:rPr>
          <w:rFonts w:asciiTheme="majorBidi" w:hAnsiTheme="majorBidi" w:cstheme="majorBidi"/>
          <w:color w:val="000000"/>
          <w:lang w:val="en-US"/>
        </w:rPr>
        <w:tab/>
      </w:r>
    </w:p>
    <w:p w:rsidR="00246EAA" w:rsidRPr="00246EAA" w:rsidRDefault="00246EAA" w:rsidP="00246EAA">
      <w:pPr>
        <w:tabs>
          <w:tab w:val="left" w:pos="1740"/>
        </w:tabs>
        <w:jc w:val="center"/>
        <w:rPr>
          <w:rFonts w:asciiTheme="majorBidi" w:hAnsiTheme="majorBidi" w:cstheme="majorBidi"/>
          <w:b/>
          <w:bCs/>
          <w:sz w:val="16"/>
          <w:szCs w:val="16"/>
          <w:lang w:val="en-US"/>
        </w:rPr>
      </w:pPr>
      <w:r w:rsidRPr="00246EAA">
        <w:rPr>
          <w:rFonts w:asciiTheme="majorBidi" w:hAnsiTheme="majorBidi" w:cstheme="majorBidi"/>
          <w:b/>
          <w:bCs/>
          <w:sz w:val="16"/>
          <w:szCs w:val="16"/>
          <w:lang w:val="en-US"/>
        </w:rPr>
        <w:t>Table 2: Summary statistics of corporate governance index (CGDI)</w:t>
      </w:r>
    </w:p>
    <w:tbl>
      <w:tblPr>
        <w:tblStyle w:val="TableGrid"/>
        <w:tblW w:w="8363" w:type="dxa"/>
        <w:tblInd w:w="205" w:type="dxa"/>
        <w:tblLook w:val="04A0"/>
      </w:tblPr>
      <w:tblGrid>
        <w:gridCol w:w="2983"/>
        <w:gridCol w:w="919"/>
        <w:gridCol w:w="896"/>
        <w:gridCol w:w="1017"/>
        <w:gridCol w:w="1331"/>
        <w:gridCol w:w="1217"/>
      </w:tblGrid>
      <w:tr w:rsidR="00246EAA" w:rsidRPr="00246EAA" w:rsidTr="00246EAA">
        <w:tc>
          <w:tcPr>
            <w:tcW w:w="2983" w:type="dxa"/>
          </w:tcPr>
          <w:p w:rsidR="00246EAA" w:rsidRPr="00246EAA" w:rsidRDefault="00246EAA" w:rsidP="00750ED4">
            <w:pPr>
              <w:tabs>
                <w:tab w:val="left" w:pos="-360"/>
                <w:tab w:val="left" w:pos="1740"/>
              </w:tabs>
              <w:jc w:val="both"/>
              <w:rPr>
                <w:rFonts w:asciiTheme="majorBidi" w:hAnsiTheme="majorBidi" w:cstheme="majorBidi"/>
                <w:b/>
                <w:bCs/>
                <w:sz w:val="16"/>
                <w:szCs w:val="16"/>
                <w:lang w:val="en-US"/>
              </w:rPr>
            </w:pPr>
            <w:r w:rsidRPr="00246EAA">
              <w:rPr>
                <w:rFonts w:asciiTheme="majorBidi" w:hAnsiTheme="majorBidi" w:cstheme="majorBidi"/>
                <w:b/>
                <w:bCs/>
                <w:sz w:val="16"/>
                <w:szCs w:val="16"/>
                <w:lang w:val="en-US"/>
              </w:rPr>
              <w:t>Dimension of corporate governance</w:t>
            </w:r>
          </w:p>
        </w:tc>
        <w:tc>
          <w:tcPr>
            <w:tcW w:w="919" w:type="dxa"/>
          </w:tcPr>
          <w:p w:rsidR="00246EAA" w:rsidRPr="00246EAA" w:rsidRDefault="00246EAA" w:rsidP="00DA755C">
            <w:pPr>
              <w:tabs>
                <w:tab w:val="left" w:pos="-360"/>
                <w:tab w:val="left" w:pos="1740"/>
              </w:tabs>
              <w:jc w:val="center"/>
              <w:rPr>
                <w:rFonts w:asciiTheme="majorBidi" w:hAnsiTheme="majorBidi" w:cstheme="majorBidi"/>
                <w:b/>
                <w:bCs/>
                <w:sz w:val="16"/>
                <w:szCs w:val="16"/>
                <w:lang w:val="en-US"/>
              </w:rPr>
            </w:pPr>
            <w:r w:rsidRPr="00246EAA">
              <w:rPr>
                <w:rFonts w:asciiTheme="majorBidi" w:hAnsiTheme="majorBidi" w:cstheme="majorBidi"/>
                <w:b/>
                <w:bCs/>
                <w:sz w:val="16"/>
                <w:szCs w:val="16"/>
                <w:lang w:val="en-US"/>
              </w:rPr>
              <w:t>Mean</w:t>
            </w:r>
          </w:p>
        </w:tc>
        <w:tc>
          <w:tcPr>
            <w:tcW w:w="896" w:type="dxa"/>
          </w:tcPr>
          <w:p w:rsidR="00246EAA" w:rsidRPr="00246EAA" w:rsidRDefault="00246EAA" w:rsidP="00DA755C">
            <w:pPr>
              <w:tabs>
                <w:tab w:val="left" w:pos="-360"/>
                <w:tab w:val="left" w:pos="1740"/>
              </w:tabs>
              <w:jc w:val="center"/>
              <w:rPr>
                <w:rFonts w:asciiTheme="majorBidi" w:hAnsiTheme="majorBidi" w:cstheme="majorBidi"/>
                <w:b/>
                <w:bCs/>
                <w:sz w:val="16"/>
                <w:szCs w:val="16"/>
                <w:lang w:val="en-US"/>
              </w:rPr>
            </w:pPr>
            <w:r w:rsidRPr="00246EAA">
              <w:rPr>
                <w:rFonts w:asciiTheme="majorBidi" w:hAnsiTheme="majorBidi" w:cstheme="majorBidi"/>
                <w:b/>
                <w:bCs/>
                <w:sz w:val="16"/>
                <w:szCs w:val="16"/>
                <w:lang w:val="en-US"/>
              </w:rPr>
              <w:t>Median</w:t>
            </w:r>
          </w:p>
        </w:tc>
        <w:tc>
          <w:tcPr>
            <w:tcW w:w="1017" w:type="dxa"/>
          </w:tcPr>
          <w:p w:rsidR="00246EAA" w:rsidRPr="00246EAA" w:rsidRDefault="00246EAA" w:rsidP="00DA755C">
            <w:pPr>
              <w:tabs>
                <w:tab w:val="left" w:pos="-360"/>
                <w:tab w:val="left" w:pos="1740"/>
              </w:tabs>
              <w:jc w:val="center"/>
              <w:rPr>
                <w:rFonts w:asciiTheme="majorBidi" w:hAnsiTheme="majorBidi" w:cstheme="majorBidi"/>
                <w:b/>
                <w:bCs/>
                <w:sz w:val="16"/>
                <w:szCs w:val="16"/>
                <w:lang w:val="en-US"/>
              </w:rPr>
            </w:pPr>
            <w:r w:rsidRPr="00246EAA">
              <w:rPr>
                <w:rFonts w:asciiTheme="majorBidi" w:hAnsiTheme="majorBidi" w:cstheme="majorBidi"/>
                <w:b/>
                <w:bCs/>
                <w:sz w:val="16"/>
                <w:szCs w:val="16"/>
                <w:lang w:val="en-US"/>
              </w:rPr>
              <w:t>Minimum</w:t>
            </w:r>
          </w:p>
        </w:tc>
        <w:tc>
          <w:tcPr>
            <w:tcW w:w="1331" w:type="dxa"/>
          </w:tcPr>
          <w:p w:rsidR="00246EAA" w:rsidRPr="00246EAA" w:rsidRDefault="00246EAA" w:rsidP="00DA755C">
            <w:pPr>
              <w:tabs>
                <w:tab w:val="left" w:pos="-360"/>
                <w:tab w:val="left" w:pos="1740"/>
              </w:tabs>
              <w:jc w:val="center"/>
              <w:rPr>
                <w:rFonts w:asciiTheme="majorBidi" w:hAnsiTheme="majorBidi" w:cstheme="majorBidi"/>
                <w:b/>
                <w:bCs/>
                <w:sz w:val="16"/>
                <w:szCs w:val="16"/>
                <w:lang w:val="en-US"/>
              </w:rPr>
            </w:pPr>
            <w:r w:rsidRPr="00246EAA">
              <w:rPr>
                <w:rFonts w:asciiTheme="majorBidi" w:hAnsiTheme="majorBidi" w:cstheme="majorBidi"/>
                <w:b/>
                <w:bCs/>
                <w:sz w:val="16"/>
                <w:szCs w:val="16"/>
                <w:lang w:val="en-US"/>
              </w:rPr>
              <w:t>Maximum</w:t>
            </w:r>
          </w:p>
        </w:tc>
        <w:tc>
          <w:tcPr>
            <w:tcW w:w="1217" w:type="dxa"/>
          </w:tcPr>
          <w:p w:rsidR="00246EAA" w:rsidRPr="00246EAA" w:rsidRDefault="00246EAA" w:rsidP="00DA755C">
            <w:pPr>
              <w:tabs>
                <w:tab w:val="left" w:pos="-360"/>
                <w:tab w:val="left" w:pos="1740"/>
              </w:tabs>
              <w:jc w:val="center"/>
              <w:rPr>
                <w:rFonts w:asciiTheme="majorBidi" w:hAnsiTheme="majorBidi" w:cstheme="majorBidi"/>
                <w:b/>
                <w:bCs/>
                <w:sz w:val="16"/>
                <w:szCs w:val="16"/>
                <w:lang w:val="en-US"/>
              </w:rPr>
            </w:pPr>
            <w:r w:rsidRPr="00246EAA">
              <w:rPr>
                <w:rFonts w:asciiTheme="majorBidi" w:hAnsiTheme="majorBidi" w:cstheme="majorBidi"/>
                <w:b/>
                <w:bCs/>
                <w:sz w:val="16"/>
                <w:szCs w:val="16"/>
                <w:lang w:val="en-US"/>
              </w:rPr>
              <w:t>Standard deviation</w:t>
            </w:r>
          </w:p>
        </w:tc>
      </w:tr>
      <w:tr w:rsidR="00246EAA" w:rsidRPr="001725B3" w:rsidTr="00246EAA">
        <w:tc>
          <w:tcPr>
            <w:tcW w:w="2983" w:type="dxa"/>
          </w:tcPr>
          <w:p w:rsidR="00246EAA" w:rsidRPr="001725B3" w:rsidRDefault="00246EAA" w:rsidP="00750ED4">
            <w:pPr>
              <w:tabs>
                <w:tab w:val="left" w:pos="-360"/>
                <w:tab w:val="left" w:pos="1740"/>
              </w:tabs>
              <w:jc w:val="both"/>
              <w:rPr>
                <w:rFonts w:asciiTheme="majorBidi" w:hAnsiTheme="majorBidi" w:cstheme="majorBidi"/>
                <w:sz w:val="16"/>
                <w:szCs w:val="16"/>
                <w:lang w:val="en-US"/>
              </w:rPr>
            </w:pPr>
            <w:r w:rsidRPr="001725B3">
              <w:rPr>
                <w:rFonts w:asciiTheme="majorBidi" w:hAnsiTheme="majorBidi" w:cstheme="majorBidi"/>
                <w:sz w:val="16"/>
                <w:szCs w:val="16"/>
                <w:lang w:val="en-US"/>
              </w:rPr>
              <w:t>Board structure</w:t>
            </w:r>
          </w:p>
          <w:p w:rsidR="00246EAA" w:rsidRPr="001725B3" w:rsidRDefault="00246EAA" w:rsidP="00750ED4">
            <w:pPr>
              <w:tabs>
                <w:tab w:val="left" w:pos="-360"/>
                <w:tab w:val="left" w:pos="1740"/>
              </w:tabs>
              <w:jc w:val="both"/>
              <w:rPr>
                <w:rFonts w:asciiTheme="majorBidi" w:hAnsiTheme="majorBidi" w:cstheme="majorBidi"/>
                <w:sz w:val="16"/>
                <w:szCs w:val="16"/>
                <w:lang w:val="en-US"/>
              </w:rPr>
            </w:pPr>
            <w:r w:rsidRPr="001725B3">
              <w:rPr>
                <w:rFonts w:asciiTheme="majorBidi" w:hAnsiTheme="majorBidi" w:cstheme="majorBidi"/>
                <w:sz w:val="16"/>
                <w:szCs w:val="16"/>
                <w:lang w:val="en-US"/>
              </w:rPr>
              <w:t>Risk management</w:t>
            </w:r>
          </w:p>
          <w:p w:rsidR="00246EAA" w:rsidRPr="001725B3" w:rsidRDefault="00246EAA" w:rsidP="00750ED4">
            <w:pPr>
              <w:tabs>
                <w:tab w:val="left" w:pos="-360"/>
                <w:tab w:val="left" w:pos="1740"/>
              </w:tabs>
              <w:jc w:val="both"/>
              <w:rPr>
                <w:rFonts w:asciiTheme="majorBidi" w:hAnsiTheme="majorBidi" w:cstheme="majorBidi"/>
                <w:sz w:val="16"/>
                <w:szCs w:val="16"/>
                <w:lang w:val="en-US"/>
              </w:rPr>
            </w:pPr>
            <w:r w:rsidRPr="001725B3">
              <w:rPr>
                <w:rFonts w:asciiTheme="majorBidi" w:hAnsiTheme="majorBidi" w:cstheme="majorBidi"/>
                <w:sz w:val="16"/>
                <w:szCs w:val="16"/>
                <w:lang w:val="en-US"/>
              </w:rPr>
              <w:t>Transparency and disclosure</w:t>
            </w:r>
          </w:p>
          <w:p w:rsidR="00246EAA" w:rsidRPr="001725B3" w:rsidRDefault="00246EAA" w:rsidP="00750ED4">
            <w:pPr>
              <w:tabs>
                <w:tab w:val="left" w:pos="-360"/>
                <w:tab w:val="left" w:pos="1740"/>
              </w:tabs>
              <w:jc w:val="both"/>
              <w:rPr>
                <w:rFonts w:asciiTheme="majorBidi" w:hAnsiTheme="majorBidi" w:cstheme="majorBidi"/>
                <w:sz w:val="16"/>
                <w:szCs w:val="16"/>
                <w:lang w:val="en-US"/>
              </w:rPr>
            </w:pPr>
            <w:r w:rsidRPr="001725B3">
              <w:rPr>
                <w:rFonts w:asciiTheme="majorBidi" w:hAnsiTheme="majorBidi" w:cstheme="majorBidi"/>
                <w:sz w:val="16"/>
                <w:szCs w:val="16"/>
                <w:lang w:val="en-US"/>
              </w:rPr>
              <w:t>Audit committee</w:t>
            </w:r>
          </w:p>
          <w:p w:rsidR="00246EAA" w:rsidRPr="001725B3" w:rsidRDefault="00246EAA" w:rsidP="00750ED4">
            <w:pPr>
              <w:tabs>
                <w:tab w:val="left" w:pos="-360"/>
                <w:tab w:val="left" w:pos="1740"/>
              </w:tabs>
              <w:jc w:val="both"/>
              <w:rPr>
                <w:rFonts w:asciiTheme="majorBidi" w:hAnsiTheme="majorBidi" w:cstheme="majorBidi"/>
                <w:sz w:val="16"/>
                <w:szCs w:val="16"/>
                <w:lang w:val="en-US"/>
              </w:rPr>
            </w:pPr>
            <w:r w:rsidRPr="001725B3">
              <w:rPr>
                <w:rFonts w:asciiTheme="majorBidi" w:hAnsiTheme="majorBidi" w:cstheme="majorBidi"/>
                <w:sz w:val="16"/>
                <w:szCs w:val="16"/>
                <w:lang w:val="en-US"/>
              </w:rPr>
              <w:t>Sharia supervisory board</w:t>
            </w:r>
          </w:p>
          <w:p w:rsidR="00246EAA" w:rsidRPr="001725B3" w:rsidRDefault="00246EAA" w:rsidP="00750ED4">
            <w:pPr>
              <w:tabs>
                <w:tab w:val="left" w:pos="-360"/>
                <w:tab w:val="left" w:pos="1740"/>
              </w:tabs>
              <w:jc w:val="both"/>
              <w:rPr>
                <w:rFonts w:asciiTheme="majorBidi" w:hAnsiTheme="majorBidi" w:cstheme="majorBidi"/>
                <w:sz w:val="16"/>
                <w:szCs w:val="16"/>
                <w:lang w:val="en-US"/>
              </w:rPr>
            </w:pPr>
            <w:r w:rsidRPr="001725B3">
              <w:rPr>
                <w:rFonts w:asciiTheme="majorBidi" w:hAnsiTheme="majorBidi" w:cstheme="majorBidi"/>
                <w:sz w:val="16"/>
                <w:szCs w:val="16"/>
                <w:lang w:val="en-US"/>
              </w:rPr>
              <w:t>Investment account holders</w:t>
            </w:r>
          </w:p>
        </w:tc>
        <w:tc>
          <w:tcPr>
            <w:tcW w:w="919" w:type="dxa"/>
          </w:tcPr>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64%</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56%</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51%</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46%</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71%</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37%</w:t>
            </w:r>
          </w:p>
        </w:tc>
        <w:tc>
          <w:tcPr>
            <w:tcW w:w="896" w:type="dxa"/>
          </w:tcPr>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57%</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59%</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44%</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39%</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72%</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35%</w:t>
            </w:r>
          </w:p>
        </w:tc>
        <w:tc>
          <w:tcPr>
            <w:tcW w:w="1017" w:type="dxa"/>
          </w:tcPr>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51%</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49%</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35%</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24%</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62%</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18%</w:t>
            </w:r>
          </w:p>
        </w:tc>
        <w:tc>
          <w:tcPr>
            <w:tcW w:w="1331" w:type="dxa"/>
          </w:tcPr>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77%</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61%</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58%</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51%</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80%</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42%</w:t>
            </w:r>
          </w:p>
        </w:tc>
        <w:tc>
          <w:tcPr>
            <w:tcW w:w="1217" w:type="dxa"/>
          </w:tcPr>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14%</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9%</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12%</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17%</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16%</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11%</w:t>
            </w:r>
          </w:p>
        </w:tc>
      </w:tr>
      <w:tr w:rsidR="00246EAA" w:rsidRPr="001725B3" w:rsidTr="00246EAA">
        <w:tc>
          <w:tcPr>
            <w:tcW w:w="2983" w:type="dxa"/>
          </w:tcPr>
          <w:p w:rsidR="00246EAA" w:rsidRPr="001725B3" w:rsidRDefault="00246EAA" w:rsidP="00750ED4">
            <w:pPr>
              <w:tabs>
                <w:tab w:val="left" w:pos="-360"/>
                <w:tab w:val="left" w:pos="1740"/>
              </w:tabs>
              <w:jc w:val="both"/>
              <w:rPr>
                <w:rFonts w:asciiTheme="majorBidi" w:hAnsiTheme="majorBidi" w:cstheme="majorBidi"/>
                <w:sz w:val="16"/>
                <w:szCs w:val="16"/>
                <w:lang w:val="en-US"/>
              </w:rPr>
            </w:pPr>
            <w:r w:rsidRPr="001725B3">
              <w:rPr>
                <w:rFonts w:asciiTheme="majorBidi" w:hAnsiTheme="majorBidi" w:cstheme="majorBidi"/>
                <w:sz w:val="16"/>
                <w:szCs w:val="16"/>
                <w:lang w:val="en-US"/>
              </w:rPr>
              <w:t>Overall CGDI</w:t>
            </w:r>
          </w:p>
        </w:tc>
        <w:tc>
          <w:tcPr>
            <w:tcW w:w="919" w:type="dxa"/>
          </w:tcPr>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54%</w:t>
            </w:r>
          </w:p>
        </w:tc>
        <w:tc>
          <w:tcPr>
            <w:tcW w:w="896" w:type="dxa"/>
          </w:tcPr>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56%</w:t>
            </w:r>
          </w:p>
        </w:tc>
        <w:tc>
          <w:tcPr>
            <w:tcW w:w="1017" w:type="dxa"/>
          </w:tcPr>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43%</w:t>
            </w:r>
          </w:p>
        </w:tc>
        <w:tc>
          <w:tcPr>
            <w:tcW w:w="1331" w:type="dxa"/>
          </w:tcPr>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61%</w:t>
            </w:r>
          </w:p>
        </w:tc>
        <w:tc>
          <w:tcPr>
            <w:tcW w:w="1217" w:type="dxa"/>
          </w:tcPr>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57.5%</w:t>
            </w:r>
          </w:p>
        </w:tc>
      </w:tr>
    </w:tbl>
    <w:p w:rsidR="00246EAA" w:rsidRPr="001725B3" w:rsidRDefault="00246EAA" w:rsidP="00246EAA">
      <w:pPr>
        <w:tabs>
          <w:tab w:val="left" w:pos="-360"/>
          <w:tab w:val="left" w:pos="1740"/>
        </w:tabs>
        <w:jc w:val="both"/>
        <w:rPr>
          <w:rFonts w:asciiTheme="majorBidi" w:hAnsiTheme="majorBidi" w:cstheme="majorBidi"/>
          <w:sz w:val="16"/>
          <w:szCs w:val="16"/>
          <w:lang w:val="en-US"/>
        </w:rPr>
      </w:pPr>
    </w:p>
    <w:p w:rsidR="00246EAA" w:rsidRDefault="00693AF8" w:rsidP="00246EAA">
      <w:pPr>
        <w:spacing w:line="240" w:lineRule="exact"/>
        <w:ind w:right="-28" w:firstLine="244"/>
        <w:jc w:val="both"/>
        <w:rPr>
          <w:rFonts w:asciiTheme="majorBidi" w:hAnsiTheme="majorBidi" w:cstheme="majorBidi"/>
          <w:color w:val="000000"/>
          <w:lang w:val="en-US"/>
        </w:rPr>
      </w:pPr>
      <w:r w:rsidRPr="00693AF8">
        <w:rPr>
          <w:rFonts w:asciiTheme="majorBidi" w:hAnsiTheme="majorBidi" w:cstheme="majorBidi"/>
          <w:color w:val="000000"/>
          <w:lang w:val="en-US"/>
        </w:rPr>
        <w:t>Concerning the sub-index of categories of corporate governance, table 2 shows that all dimensions of the index, except the AC index (46%) and IAHs index (37%), have contributed to the improvement of the CGDI. The low score of AC index can be explained by the fact that none of the GCC countries requires Islamic banks to establish audit, compensation or nomination committee, although some of them do encourage this (</w:t>
      </w:r>
      <w:proofErr w:type="spellStart"/>
      <w:r w:rsidRPr="00693AF8">
        <w:rPr>
          <w:rFonts w:asciiTheme="majorBidi" w:hAnsiTheme="majorBidi" w:cstheme="majorBidi"/>
          <w:color w:val="000000"/>
          <w:lang w:val="en-US"/>
        </w:rPr>
        <w:t>Safieddine</w:t>
      </w:r>
      <w:proofErr w:type="spellEnd"/>
      <w:r w:rsidRPr="00693AF8">
        <w:rPr>
          <w:rFonts w:asciiTheme="majorBidi" w:hAnsiTheme="majorBidi" w:cstheme="majorBidi"/>
          <w:color w:val="000000"/>
          <w:lang w:val="en-US"/>
        </w:rPr>
        <w:t>, 2009). In addition, the disclosure practice of the GCC Islamic banks on the dimension related to IAHs is relatively insufficient. None of the sample banks discloses information relating to the risks and rights of IAHs and to investment and asset allocation. Further, the methods and bases used in allocating and distributing the profit between shareholders and IAHs are missed in the majority of Islamic bank’s annual report. It is noted that Islamic banks do not allow IAHs to be members of the board or to participate in managerial decisions (</w:t>
      </w:r>
      <w:proofErr w:type="spellStart"/>
      <w:r w:rsidRPr="00693AF8">
        <w:rPr>
          <w:rFonts w:asciiTheme="majorBidi" w:hAnsiTheme="majorBidi" w:cstheme="majorBidi"/>
          <w:color w:val="000000"/>
          <w:lang w:val="en-US"/>
        </w:rPr>
        <w:t>Safieddine</w:t>
      </w:r>
      <w:proofErr w:type="spellEnd"/>
      <w:r w:rsidRPr="00693AF8">
        <w:rPr>
          <w:rFonts w:asciiTheme="majorBidi" w:hAnsiTheme="majorBidi" w:cstheme="majorBidi"/>
          <w:color w:val="000000"/>
          <w:lang w:val="en-US"/>
        </w:rPr>
        <w:t xml:space="preserve">, 2009). </w:t>
      </w:r>
    </w:p>
    <w:p w:rsidR="00693AF8" w:rsidRPr="00693AF8" w:rsidRDefault="00693AF8" w:rsidP="00246EAA">
      <w:pPr>
        <w:spacing w:line="240" w:lineRule="exact"/>
        <w:ind w:right="-28" w:firstLine="244"/>
        <w:jc w:val="both"/>
        <w:rPr>
          <w:rFonts w:asciiTheme="majorBidi" w:hAnsiTheme="majorBidi" w:cstheme="majorBidi"/>
          <w:color w:val="000000"/>
          <w:lang w:val="en-US"/>
        </w:rPr>
      </w:pPr>
      <w:r w:rsidRPr="00693AF8">
        <w:rPr>
          <w:rFonts w:asciiTheme="majorBidi" w:hAnsiTheme="majorBidi" w:cstheme="majorBidi"/>
          <w:color w:val="000000"/>
          <w:lang w:val="en-US"/>
        </w:rPr>
        <w:lastRenderedPageBreak/>
        <w:t xml:space="preserve">In consequence, according to </w:t>
      </w:r>
      <w:proofErr w:type="spellStart"/>
      <w:r w:rsidRPr="00693AF8">
        <w:rPr>
          <w:rFonts w:asciiTheme="majorBidi" w:hAnsiTheme="majorBidi" w:cstheme="majorBidi"/>
          <w:color w:val="000000"/>
          <w:lang w:val="en-US"/>
        </w:rPr>
        <w:t>Grais</w:t>
      </w:r>
      <w:proofErr w:type="spellEnd"/>
      <w:r w:rsidRPr="00693AF8">
        <w:rPr>
          <w:rFonts w:asciiTheme="majorBidi" w:hAnsiTheme="majorBidi" w:cstheme="majorBidi"/>
          <w:color w:val="000000"/>
          <w:lang w:val="en-US"/>
        </w:rPr>
        <w:t xml:space="preserve"> and </w:t>
      </w:r>
      <w:proofErr w:type="spellStart"/>
      <w:r w:rsidRPr="00693AF8">
        <w:rPr>
          <w:rFonts w:asciiTheme="majorBidi" w:hAnsiTheme="majorBidi" w:cstheme="majorBidi"/>
          <w:color w:val="000000"/>
          <w:lang w:val="en-US"/>
        </w:rPr>
        <w:t>Pellegrini</w:t>
      </w:r>
      <w:proofErr w:type="spellEnd"/>
      <w:r w:rsidRPr="00693AF8">
        <w:rPr>
          <w:rFonts w:asciiTheme="majorBidi" w:hAnsiTheme="majorBidi" w:cstheme="majorBidi"/>
          <w:color w:val="000000"/>
          <w:lang w:val="en-US"/>
        </w:rPr>
        <w:t xml:space="preserve"> (2006), IAHs are unable to monitor their investments, communicate their needs, or express their concerns. Table 2 also shows that the SSB index has the highest mean disclosure among all categories (71%) while the IAHs index has the lowest mean of all the dimensions (37%). The high score in the SSB component provides assurance that Islamic banks in GCC countries are conducted in accordance with Sharia law. The result is expected due to the fact that the majority of Islamic banks have developed appropriate mechanisms and procedures that allow the SSB to exercise its role in ensuring compliance of the banks’ products and compliance with Sharia. Other dimensions showing relatively high scores are board structure (BOD) and risk management with the mean value of indices equal to 64% and 56% respectively. The dimensional index of BOD occupied the second rank among six dimensions included in the CGDI. The majority of items related to this dimension (size of board, frequency of board meeting, number of outside directors, and so on) are disclosed by GCC banks. It means that a high number of Islamic banks in this region comply with the basic requirements of governance and therefore allow the board to exercise its fiduciary duties effectively (</w:t>
      </w:r>
      <w:proofErr w:type="spellStart"/>
      <w:r w:rsidRPr="00693AF8">
        <w:rPr>
          <w:rFonts w:asciiTheme="majorBidi" w:hAnsiTheme="majorBidi" w:cstheme="majorBidi"/>
          <w:color w:val="000000"/>
          <w:lang w:val="en-US"/>
        </w:rPr>
        <w:t>Safieddine</w:t>
      </w:r>
      <w:proofErr w:type="spellEnd"/>
      <w:r w:rsidRPr="00693AF8">
        <w:rPr>
          <w:rFonts w:asciiTheme="majorBidi" w:hAnsiTheme="majorBidi" w:cstheme="majorBidi"/>
          <w:color w:val="000000"/>
          <w:lang w:val="en-US"/>
        </w:rPr>
        <w:t>, 2009). Concerning the transparency and disclosure index, the results reveal that most Islamic banks in the sample maintain a website and disclose information on management and financial performance. However, a limited number of them report information regarding board remuneration, ownership structure, compliance of profits/losses with Sharia principles and details relating to the banks Zakat obligations.</w:t>
      </w:r>
    </w:p>
    <w:p w:rsidR="00246EAA" w:rsidRDefault="00246EAA" w:rsidP="00693AF8">
      <w:pPr>
        <w:jc w:val="both"/>
        <w:rPr>
          <w:rFonts w:asciiTheme="majorBidi" w:hAnsiTheme="majorBidi" w:cstheme="majorBidi"/>
          <w:lang w:val="en-US"/>
        </w:rPr>
      </w:pPr>
    </w:p>
    <w:p w:rsidR="00246EAA" w:rsidRPr="003A611A" w:rsidRDefault="00246EAA" w:rsidP="00246EAA">
      <w:pPr>
        <w:tabs>
          <w:tab w:val="left" w:pos="1740"/>
        </w:tabs>
        <w:jc w:val="center"/>
        <w:rPr>
          <w:rFonts w:asciiTheme="majorBidi" w:hAnsiTheme="majorBidi" w:cstheme="majorBidi"/>
          <w:b/>
          <w:bCs/>
          <w:sz w:val="16"/>
          <w:szCs w:val="16"/>
          <w:lang w:val="en-US"/>
        </w:rPr>
      </w:pPr>
      <w:r w:rsidRPr="003A611A">
        <w:rPr>
          <w:rFonts w:asciiTheme="majorBidi" w:hAnsiTheme="majorBidi" w:cstheme="majorBidi"/>
          <w:b/>
          <w:bCs/>
          <w:sz w:val="16"/>
          <w:szCs w:val="16"/>
          <w:lang w:val="en-US"/>
        </w:rPr>
        <w:t>Table 3: Statistics of corporate governance disclosure index by dimension and country</w:t>
      </w:r>
    </w:p>
    <w:tbl>
      <w:tblPr>
        <w:tblStyle w:val="TableGrid"/>
        <w:tblW w:w="8222" w:type="dxa"/>
        <w:tblInd w:w="250" w:type="dxa"/>
        <w:tblLook w:val="04A0"/>
      </w:tblPr>
      <w:tblGrid>
        <w:gridCol w:w="2302"/>
        <w:gridCol w:w="957"/>
        <w:gridCol w:w="957"/>
        <w:gridCol w:w="956"/>
        <w:gridCol w:w="956"/>
        <w:gridCol w:w="956"/>
        <w:gridCol w:w="1138"/>
      </w:tblGrid>
      <w:tr w:rsidR="00246EAA" w:rsidRPr="003A611A" w:rsidTr="003A611A">
        <w:tc>
          <w:tcPr>
            <w:tcW w:w="2293" w:type="dxa"/>
          </w:tcPr>
          <w:p w:rsidR="00246EAA" w:rsidRPr="003A611A" w:rsidRDefault="00246EAA" w:rsidP="003A611A">
            <w:pPr>
              <w:tabs>
                <w:tab w:val="left" w:pos="-360"/>
                <w:tab w:val="left" w:pos="1740"/>
              </w:tabs>
              <w:rPr>
                <w:rFonts w:asciiTheme="majorBidi" w:hAnsiTheme="majorBidi" w:cstheme="majorBidi"/>
                <w:b/>
                <w:bCs/>
                <w:sz w:val="16"/>
                <w:szCs w:val="16"/>
                <w:lang w:val="en-US"/>
              </w:rPr>
            </w:pPr>
            <w:r w:rsidRPr="003A611A">
              <w:rPr>
                <w:rFonts w:asciiTheme="majorBidi" w:hAnsiTheme="majorBidi" w:cstheme="majorBidi"/>
                <w:b/>
                <w:bCs/>
                <w:sz w:val="16"/>
                <w:szCs w:val="16"/>
                <w:lang w:val="en-US"/>
              </w:rPr>
              <w:t>Dimension of corporate governance</w:t>
            </w:r>
          </w:p>
        </w:tc>
        <w:tc>
          <w:tcPr>
            <w:tcW w:w="953" w:type="dxa"/>
          </w:tcPr>
          <w:p w:rsidR="00246EAA" w:rsidRPr="003A611A" w:rsidRDefault="00246EAA" w:rsidP="00DA755C">
            <w:pPr>
              <w:tabs>
                <w:tab w:val="left" w:pos="-360"/>
                <w:tab w:val="left" w:pos="1740"/>
              </w:tabs>
              <w:jc w:val="center"/>
              <w:rPr>
                <w:rFonts w:asciiTheme="majorBidi" w:hAnsiTheme="majorBidi" w:cstheme="majorBidi"/>
                <w:b/>
                <w:bCs/>
                <w:sz w:val="16"/>
                <w:szCs w:val="16"/>
                <w:lang w:val="en-US"/>
              </w:rPr>
            </w:pPr>
            <w:r w:rsidRPr="003A611A">
              <w:rPr>
                <w:rFonts w:asciiTheme="majorBidi" w:hAnsiTheme="majorBidi" w:cstheme="majorBidi"/>
                <w:b/>
                <w:bCs/>
                <w:sz w:val="16"/>
                <w:szCs w:val="16"/>
                <w:lang w:val="en-US"/>
              </w:rPr>
              <w:t>Bahrain</w:t>
            </w:r>
          </w:p>
        </w:tc>
        <w:tc>
          <w:tcPr>
            <w:tcW w:w="953" w:type="dxa"/>
          </w:tcPr>
          <w:p w:rsidR="00246EAA" w:rsidRPr="003A611A" w:rsidRDefault="00246EAA" w:rsidP="00DA755C">
            <w:pPr>
              <w:tabs>
                <w:tab w:val="left" w:pos="-360"/>
                <w:tab w:val="left" w:pos="1740"/>
              </w:tabs>
              <w:jc w:val="center"/>
              <w:rPr>
                <w:rFonts w:asciiTheme="majorBidi" w:hAnsiTheme="majorBidi" w:cstheme="majorBidi"/>
                <w:b/>
                <w:bCs/>
                <w:sz w:val="16"/>
                <w:szCs w:val="16"/>
                <w:lang w:val="en-US"/>
              </w:rPr>
            </w:pPr>
            <w:r w:rsidRPr="003A611A">
              <w:rPr>
                <w:rFonts w:asciiTheme="majorBidi" w:hAnsiTheme="majorBidi" w:cstheme="majorBidi"/>
                <w:b/>
                <w:bCs/>
                <w:sz w:val="16"/>
                <w:szCs w:val="16"/>
                <w:lang w:val="en-US"/>
              </w:rPr>
              <w:t>Kuwait</w:t>
            </w:r>
          </w:p>
        </w:tc>
        <w:tc>
          <w:tcPr>
            <w:tcW w:w="953" w:type="dxa"/>
          </w:tcPr>
          <w:p w:rsidR="00246EAA" w:rsidRPr="003A611A" w:rsidRDefault="00246EAA" w:rsidP="00DA755C">
            <w:pPr>
              <w:tabs>
                <w:tab w:val="left" w:pos="-360"/>
                <w:tab w:val="left" w:pos="1740"/>
              </w:tabs>
              <w:jc w:val="center"/>
              <w:rPr>
                <w:rFonts w:asciiTheme="majorBidi" w:hAnsiTheme="majorBidi" w:cstheme="majorBidi"/>
                <w:b/>
                <w:bCs/>
                <w:sz w:val="16"/>
                <w:szCs w:val="16"/>
                <w:lang w:val="en-US"/>
              </w:rPr>
            </w:pPr>
            <w:r w:rsidRPr="003A611A">
              <w:rPr>
                <w:rFonts w:asciiTheme="majorBidi" w:hAnsiTheme="majorBidi" w:cstheme="majorBidi"/>
                <w:b/>
                <w:bCs/>
                <w:sz w:val="16"/>
                <w:szCs w:val="16"/>
                <w:lang w:val="en-US"/>
              </w:rPr>
              <w:t>Qatar</w:t>
            </w:r>
          </w:p>
        </w:tc>
        <w:tc>
          <w:tcPr>
            <w:tcW w:w="953" w:type="dxa"/>
          </w:tcPr>
          <w:p w:rsidR="00246EAA" w:rsidRPr="003A611A" w:rsidRDefault="00246EAA" w:rsidP="00DA755C">
            <w:pPr>
              <w:tabs>
                <w:tab w:val="left" w:pos="-360"/>
                <w:tab w:val="left" w:pos="1740"/>
              </w:tabs>
              <w:jc w:val="center"/>
              <w:rPr>
                <w:rFonts w:asciiTheme="majorBidi" w:hAnsiTheme="majorBidi" w:cstheme="majorBidi"/>
                <w:b/>
                <w:bCs/>
                <w:sz w:val="16"/>
                <w:szCs w:val="16"/>
                <w:lang w:val="en-US"/>
              </w:rPr>
            </w:pPr>
            <w:r w:rsidRPr="003A611A">
              <w:rPr>
                <w:rFonts w:asciiTheme="majorBidi" w:hAnsiTheme="majorBidi" w:cstheme="majorBidi"/>
                <w:b/>
                <w:bCs/>
                <w:sz w:val="16"/>
                <w:szCs w:val="16"/>
                <w:lang w:val="en-US"/>
              </w:rPr>
              <w:t>Saudi Arabia</w:t>
            </w:r>
          </w:p>
        </w:tc>
        <w:tc>
          <w:tcPr>
            <w:tcW w:w="953" w:type="dxa"/>
          </w:tcPr>
          <w:p w:rsidR="00246EAA" w:rsidRPr="003A611A" w:rsidRDefault="00246EAA" w:rsidP="00DA755C">
            <w:pPr>
              <w:tabs>
                <w:tab w:val="left" w:pos="-360"/>
                <w:tab w:val="left" w:pos="1740"/>
              </w:tabs>
              <w:jc w:val="center"/>
              <w:rPr>
                <w:rFonts w:asciiTheme="majorBidi" w:hAnsiTheme="majorBidi" w:cstheme="majorBidi"/>
                <w:b/>
                <w:bCs/>
                <w:sz w:val="16"/>
                <w:szCs w:val="16"/>
                <w:lang w:val="en-US"/>
              </w:rPr>
            </w:pPr>
            <w:r w:rsidRPr="003A611A">
              <w:rPr>
                <w:rFonts w:asciiTheme="majorBidi" w:hAnsiTheme="majorBidi" w:cstheme="majorBidi"/>
                <w:b/>
                <w:bCs/>
                <w:sz w:val="16"/>
                <w:szCs w:val="16"/>
                <w:lang w:val="en-US"/>
              </w:rPr>
              <w:t>UAE</w:t>
            </w:r>
          </w:p>
        </w:tc>
        <w:tc>
          <w:tcPr>
            <w:tcW w:w="1134" w:type="dxa"/>
          </w:tcPr>
          <w:p w:rsidR="00246EAA" w:rsidRPr="003A611A" w:rsidRDefault="00246EAA" w:rsidP="00DA755C">
            <w:pPr>
              <w:tabs>
                <w:tab w:val="left" w:pos="-360"/>
                <w:tab w:val="left" w:pos="1740"/>
              </w:tabs>
              <w:jc w:val="center"/>
              <w:rPr>
                <w:rFonts w:asciiTheme="majorBidi" w:hAnsiTheme="majorBidi" w:cstheme="majorBidi"/>
                <w:b/>
                <w:bCs/>
                <w:sz w:val="16"/>
                <w:szCs w:val="16"/>
                <w:lang w:val="en-US"/>
              </w:rPr>
            </w:pPr>
            <w:r w:rsidRPr="003A611A">
              <w:rPr>
                <w:rFonts w:asciiTheme="majorBidi" w:hAnsiTheme="majorBidi" w:cstheme="majorBidi"/>
                <w:b/>
                <w:bCs/>
                <w:sz w:val="16"/>
                <w:szCs w:val="16"/>
                <w:lang w:val="en-US"/>
              </w:rPr>
              <w:t>Average CGDI</w:t>
            </w:r>
          </w:p>
        </w:tc>
      </w:tr>
      <w:tr w:rsidR="00246EAA" w:rsidRPr="001725B3" w:rsidTr="003A611A">
        <w:tc>
          <w:tcPr>
            <w:tcW w:w="2293" w:type="dxa"/>
          </w:tcPr>
          <w:p w:rsidR="00246EAA" w:rsidRPr="001725B3" w:rsidRDefault="00246EAA" w:rsidP="00750ED4">
            <w:pPr>
              <w:tabs>
                <w:tab w:val="left" w:pos="-360"/>
                <w:tab w:val="left" w:pos="1740"/>
              </w:tabs>
              <w:jc w:val="both"/>
              <w:rPr>
                <w:rFonts w:asciiTheme="majorBidi" w:hAnsiTheme="majorBidi" w:cstheme="majorBidi"/>
                <w:sz w:val="16"/>
                <w:szCs w:val="16"/>
                <w:lang w:val="en-US"/>
              </w:rPr>
            </w:pPr>
            <w:r w:rsidRPr="001725B3">
              <w:rPr>
                <w:rFonts w:asciiTheme="majorBidi" w:hAnsiTheme="majorBidi" w:cstheme="majorBidi"/>
                <w:sz w:val="16"/>
                <w:szCs w:val="16"/>
                <w:lang w:val="en-US"/>
              </w:rPr>
              <w:t>Board structure</w:t>
            </w:r>
          </w:p>
          <w:p w:rsidR="00246EAA" w:rsidRPr="001725B3" w:rsidRDefault="00246EAA" w:rsidP="00750ED4">
            <w:pPr>
              <w:tabs>
                <w:tab w:val="left" w:pos="-360"/>
                <w:tab w:val="left" w:pos="1740"/>
              </w:tabs>
              <w:jc w:val="both"/>
              <w:rPr>
                <w:rFonts w:asciiTheme="majorBidi" w:hAnsiTheme="majorBidi" w:cstheme="majorBidi"/>
                <w:sz w:val="16"/>
                <w:szCs w:val="16"/>
                <w:lang w:val="en-US"/>
              </w:rPr>
            </w:pPr>
            <w:r w:rsidRPr="001725B3">
              <w:rPr>
                <w:rFonts w:asciiTheme="majorBidi" w:hAnsiTheme="majorBidi" w:cstheme="majorBidi"/>
                <w:sz w:val="16"/>
                <w:szCs w:val="16"/>
                <w:lang w:val="en-US"/>
              </w:rPr>
              <w:t>Risk management</w:t>
            </w:r>
          </w:p>
          <w:p w:rsidR="00246EAA" w:rsidRPr="001725B3" w:rsidRDefault="00246EAA" w:rsidP="00750ED4">
            <w:pPr>
              <w:tabs>
                <w:tab w:val="left" w:pos="-360"/>
                <w:tab w:val="left" w:pos="1740"/>
              </w:tabs>
              <w:jc w:val="both"/>
              <w:rPr>
                <w:rFonts w:asciiTheme="majorBidi" w:hAnsiTheme="majorBidi" w:cstheme="majorBidi"/>
                <w:sz w:val="16"/>
                <w:szCs w:val="16"/>
                <w:lang w:val="en-US"/>
              </w:rPr>
            </w:pPr>
            <w:r w:rsidRPr="001725B3">
              <w:rPr>
                <w:rFonts w:asciiTheme="majorBidi" w:hAnsiTheme="majorBidi" w:cstheme="majorBidi"/>
                <w:sz w:val="16"/>
                <w:szCs w:val="16"/>
                <w:lang w:val="en-US"/>
              </w:rPr>
              <w:t>Transparency and disclosure</w:t>
            </w:r>
          </w:p>
          <w:p w:rsidR="00246EAA" w:rsidRPr="001725B3" w:rsidRDefault="00246EAA" w:rsidP="00750ED4">
            <w:pPr>
              <w:tabs>
                <w:tab w:val="left" w:pos="-360"/>
                <w:tab w:val="left" w:pos="1740"/>
              </w:tabs>
              <w:jc w:val="both"/>
              <w:rPr>
                <w:rFonts w:asciiTheme="majorBidi" w:hAnsiTheme="majorBidi" w:cstheme="majorBidi"/>
                <w:sz w:val="16"/>
                <w:szCs w:val="16"/>
                <w:lang w:val="en-US"/>
              </w:rPr>
            </w:pPr>
            <w:r w:rsidRPr="001725B3">
              <w:rPr>
                <w:rFonts w:asciiTheme="majorBidi" w:hAnsiTheme="majorBidi" w:cstheme="majorBidi"/>
                <w:sz w:val="16"/>
                <w:szCs w:val="16"/>
                <w:lang w:val="en-US"/>
              </w:rPr>
              <w:t>Audit committee</w:t>
            </w:r>
          </w:p>
          <w:p w:rsidR="00246EAA" w:rsidRPr="001725B3" w:rsidRDefault="00246EAA" w:rsidP="00750ED4">
            <w:pPr>
              <w:tabs>
                <w:tab w:val="left" w:pos="-360"/>
                <w:tab w:val="left" w:pos="1740"/>
              </w:tabs>
              <w:jc w:val="both"/>
              <w:rPr>
                <w:rFonts w:asciiTheme="majorBidi" w:hAnsiTheme="majorBidi" w:cstheme="majorBidi"/>
                <w:sz w:val="16"/>
                <w:szCs w:val="16"/>
                <w:lang w:val="en-US"/>
              </w:rPr>
            </w:pPr>
            <w:r w:rsidRPr="001725B3">
              <w:rPr>
                <w:rFonts w:asciiTheme="majorBidi" w:hAnsiTheme="majorBidi" w:cstheme="majorBidi"/>
                <w:sz w:val="16"/>
                <w:szCs w:val="16"/>
                <w:lang w:val="en-US"/>
              </w:rPr>
              <w:t>Sharia supervisory board</w:t>
            </w:r>
          </w:p>
          <w:p w:rsidR="00246EAA" w:rsidRPr="001725B3" w:rsidRDefault="00246EAA" w:rsidP="00750ED4">
            <w:pPr>
              <w:tabs>
                <w:tab w:val="left" w:pos="-360"/>
                <w:tab w:val="left" w:pos="1740"/>
              </w:tabs>
              <w:jc w:val="both"/>
              <w:rPr>
                <w:rFonts w:asciiTheme="majorBidi" w:hAnsiTheme="majorBidi" w:cstheme="majorBidi"/>
                <w:sz w:val="16"/>
                <w:szCs w:val="16"/>
                <w:lang w:val="en-US"/>
              </w:rPr>
            </w:pPr>
            <w:r w:rsidRPr="001725B3">
              <w:rPr>
                <w:rFonts w:asciiTheme="majorBidi" w:hAnsiTheme="majorBidi" w:cstheme="majorBidi"/>
                <w:sz w:val="16"/>
                <w:szCs w:val="16"/>
                <w:lang w:val="en-US"/>
              </w:rPr>
              <w:t>Investment account holders</w:t>
            </w:r>
          </w:p>
        </w:tc>
        <w:tc>
          <w:tcPr>
            <w:tcW w:w="953" w:type="dxa"/>
          </w:tcPr>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66%</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59%</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56%</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49%</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74%</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37%</w:t>
            </w:r>
          </w:p>
        </w:tc>
        <w:tc>
          <w:tcPr>
            <w:tcW w:w="953" w:type="dxa"/>
          </w:tcPr>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59%</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55%</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43%</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44%</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67%</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34%</w:t>
            </w:r>
          </w:p>
        </w:tc>
        <w:tc>
          <w:tcPr>
            <w:tcW w:w="953" w:type="dxa"/>
          </w:tcPr>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63%</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56%</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52%</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45%</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70%</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40%</w:t>
            </w:r>
          </w:p>
        </w:tc>
        <w:tc>
          <w:tcPr>
            <w:tcW w:w="953" w:type="dxa"/>
          </w:tcPr>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62%</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53%</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46%</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45%</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69%</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36%</w:t>
            </w:r>
          </w:p>
        </w:tc>
        <w:tc>
          <w:tcPr>
            <w:tcW w:w="953" w:type="dxa"/>
          </w:tcPr>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70%</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57%</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58%</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47%</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75%</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38%</w:t>
            </w:r>
          </w:p>
        </w:tc>
        <w:tc>
          <w:tcPr>
            <w:tcW w:w="1134" w:type="dxa"/>
          </w:tcPr>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64%</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56%</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51%</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46%</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71%</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37%</w:t>
            </w:r>
          </w:p>
        </w:tc>
      </w:tr>
      <w:tr w:rsidR="00246EAA" w:rsidRPr="001725B3" w:rsidTr="003A611A">
        <w:tc>
          <w:tcPr>
            <w:tcW w:w="2293" w:type="dxa"/>
          </w:tcPr>
          <w:p w:rsidR="00246EAA" w:rsidRPr="001725B3" w:rsidRDefault="00246EAA" w:rsidP="00750ED4">
            <w:pPr>
              <w:tabs>
                <w:tab w:val="left" w:pos="-360"/>
                <w:tab w:val="left" w:pos="1740"/>
              </w:tabs>
              <w:jc w:val="both"/>
              <w:rPr>
                <w:rFonts w:asciiTheme="majorBidi" w:hAnsiTheme="majorBidi" w:cstheme="majorBidi"/>
                <w:sz w:val="16"/>
                <w:szCs w:val="16"/>
                <w:lang w:val="en-US"/>
              </w:rPr>
            </w:pPr>
            <w:r w:rsidRPr="001725B3">
              <w:rPr>
                <w:rFonts w:asciiTheme="majorBidi" w:hAnsiTheme="majorBidi" w:cstheme="majorBidi"/>
                <w:sz w:val="16"/>
                <w:szCs w:val="16"/>
                <w:lang w:val="en-US"/>
              </w:rPr>
              <w:t>Overall index</w:t>
            </w:r>
          </w:p>
          <w:p w:rsidR="00246EAA" w:rsidRPr="001725B3" w:rsidRDefault="00246EAA" w:rsidP="00750ED4">
            <w:pPr>
              <w:tabs>
                <w:tab w:val="left" w:pos="-360"/>
                <w:tab w:val="left" w:pos="1740"/>
              </w:tabs>
              <w:jc w:val="both"/>
              <w:rPr>
                <w:rFonts w:asciiTheme="majorBidi" w:hAnsiTheme="majorBidi" w:cstheme="majorBidi"/>
                <w:sz w:val="16"/>
                <w:szCs w:val="16"/>
                <w:lang w:val="en-US"/>
              </w:rPr>
            </w:pPr>
            <w:r w:rsidRPr="001725B3">
              <w:rPr>
                <w:rFonts w:asciiTheme="majorBidi" w:hAnsiTheme="majorBidi" w:cstheme="majorBidi"/>
                <w:sz w:val="16"/>
                <w:szCs w:val="16"/>
                <w:lang w:val="en-US"/>
              </w:rPr>
              <w:t>Overall rank</w:t>
            </w:r>
          </w:p>
        </w:tc>
        <w:tc>
          <w:tcPr>
            <w:tcW w:w="953" w:type="dxa"/>
          </w:tcPr>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56.8%</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2</w:t>
            </w:r>
          </w:p>
        </w:tc>
        <w:tc>
          <w:tcPr>
            <w:tcW w:w="953" w:type="dxa"/>
          </w:tcPr>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50.4%</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w:t>
            </w:r>
          </w:p>
        </w:tc>
        <w:tc>
          <w:tcPr>
            <w:tcW w:w="953" w:type="dxa"/>
          </w:tcPr>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54.3%</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3</w:t>
            </w:r>
          </w:p>
        </w:tc>
        <w:tc>
          <w:tcPr>
            <w:tcW w:w="953" w:type="dxa"/>
          </w:tcPr>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51.8%</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4</w:t>
            </w:r>
          </w:p>
        </w:tc>
        <w:tc>
          <w:tcPr>
            <w:tcW w:w="953" w:type="dxa"/>
          </w:tcPr>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57.5%</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1</w:t>
            </w:r>
          </w:p>
        </w:tc>
        <w:tc>
          <w:tcPr>
            <w:tcW w:w="1134" w:type="dxa"/>
          </w:tcPr>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54</w:t>
            </w:r>
          </w:p>
          <w:p w:rsidR="00246EAA" w:rsidRPr="001725B3" w:rsidRDefault="00246EAA" w:rsidP="00DA755C">
            <w:pPr>
              <w:tabs>
                <w:tab w:val="left" w:pos="-360"/>
                <w:tab w:val="left" w:pos="1740"/>
              </w:tabs>
              <w:jc w:val="center"/>
              <w:rPr>
                <w:rFonts w:asciiTheme="majorBidi" w:hAnsiTheme="majorBidi" w:cstheme="majorBidi"/>
                <w:sz w:val="16"/>
                <w:szCs w:val="16"/>
                <w:lang w:val="en-US"/>
              </w:rPr>
            </w:pPr>
            <w:r w:rsidRPr="001725B3">
              <w:rPr>
                <w:rFonts w:asciiTheme="majorBidi" w:hAnsiTheme="majorBidi" w:cstheme="majorBidi"/>
                <w:sz w:val="16"/>
                <w:szCs w:val="16"/>
                <w:lang w:val="en-US"/>
              </w:rPr>
              <w:t>-</w:t>
            </w:r>
          </w:p>
        </w:tc>
      </w:tr>
    </w:tbl>
    <w:p w:rsidR="00693AF8" w:rsidRPr="00693AF8" w:rsidRDefault="00693AF8" w:rsidP="00693AF8">
      <w:pPr>
        <w:jc w:val="both"/>
        <w:rPr>
          <w:rFonts w:asciiTheme="majorBidi" w:hAnsiTheme="majorBidi" w:cstheme="majorBidi"/>
          <w:lang w:val="en-US"/>
        </w:rPr>
      </w:pPr>
    </w:p>
    <w:p w:rsidR="00693AF8" w:rsidRPr="00693AF8" w:rsidRDefault="00693AF8" w:rsidP="003A611A">
      <w:pPr>
        <w:spacing w:line="240" w:lineRule="exact"/>
        <w:ind w:right="-28" w:firstLine="244"/>
        <w:jc w:val="both"/>
        <w:rPr>
          <w:rFonts w:asciiTheme="majorBidi" w:hAnsiTheme="majorBidi" w:cstheme="majorBidi"/>
          <w:color w:val="000000"/>
          <w:lang w:val="en-US"/>
        </w:rPr>
      </w:pPr>
      <w:r w:rsidRPr="00693AF8">
        <w:rPr>
          <w:rFonts w:asciiTheme="majorBidi" w:hAnsiTheme="majorBidi" w:cstheme="majorBidi"/>
          <w:color w:val="000000"/>
          <w:lang w:val="en-US"/>
        </w:rPr>
        <w:t>Table 3 reports the overall mean value of CGDI for each country and further shows the scores of each country on the six dimensions of corporate governance. As can be seen from this table, UAE and Bahrain show the highest CGDI, scoring 57.4% and 56.8% respectively. This means that these two countries disclose approximately 57% of 63 items, which formed the index of corporate governance. On the other hand, Saudi Arabia and Kuwait appear to have the lowest CGDI, scoring 51.8% and 50.3% respectively. Given the average overall CGDI of 54%, it can be seen that there are only three countries, UAE, Bahrain and Qatar, possessing above-average CGDI. However, it is noted that all countries in the sample have an average CGDI superior to 50%. Looking at the different dimensions, table 2 also shows that UAE and Bahrain have the highest score on all components, except IAHs index where Qatar occupied the first rank. We can also observe that all five GCC countries have to give more attention to, and to improve the quality of, three dimensions namely, IAHs (37%), AC (46%) and transparency and disclosure (51%) which present a low score of CGI.</w:t>
      </w:r>
    </w:p>
    <w:p w:rsidR="003A611A" w:rsidRDefault="003A611A" w:rsidP="00693AF8">
      <w:pPr>
        <w:jc w:val="both"/>
        <w:rPr>
          <w:rFonts w:asciiTheme="majorBidi" w:hAnsiTheme="majorBidi" w:cstheme="majorBidi"/>
          <w:b/>
          <w:bCs/>
          <w:color w:val="000000"/>
          <w:lang w:val="en-US"/>
        </w:rPr>
      </w:pPr>
    </w:p>
    <w:p w:rsidR="00693AF8" w:rsidRPr="005F04A8" w:rsidRDefault="00693AF8" w:rsidP="005F04A8">
      <w:pPr>
        <w:jc w:val="both"/>
        <w:rPr>
          <w:rFonts w:asciiTheme="majorBidi" w:hAnsiTheme="majorBidi" w:cstheme="majorBidi"/>
          <w:color w:val="000000"/>
          <w:lang w:val="en-US"/>
        </w:rPr>
      </w:pPr>
      <w:r w:rsidRPr="005F04A8">
        <w:rPr>
          <w:rFonts w:asciiTheme="majorBidi" w:hAnsiTheme="majorBidi" w:cstheme="majorBidi"/>
          <w:color w:val="000000"/>
          <w:lang w:val="en-US"/>
        </w:rPr>
        <w:t>4</w:t>
      </w:r>
      <w:r w:rsidR="00E268D5" w:rsidRPr="005F04A8">
        <w:rPr>
          <w:rFonts w:asciiTheme="majorBidi" w:hAnsiTheme="majorBidi" w:cstheme="majorBidi"/>
          <w:color w:val="000000"/>
          <w:lang w:val="en-US"/>
        </w:rPr>
        <w:t>.</w:t>
      </w:r>
      <w:r w:rsidRPr="005F04A8">
        <w:rPr>
          <w:rFonts w:asciiTheme="majorBidi" w:hAnsiTheme="majorBidi" w:cstheme="majorBidi"/>
          <w:color w:val="000000"/>
          <w:lang w:val="en-US"/>
        </w:rPr>
        <w:t>2</w:t>
      </w:r>
      <w:r w:rsidR="00E268D5" w:rsidRPr="005F04A8">
        <w:rPr>
          <w:rFonts w:asciiTheme="majorBidi" w:hAnsiTheme="majorBidi" w:cstheme="majorBidi"/>
          <w:color w:val="000000"/>
          <w:lang w:val="en-US"/>
        </w:rPr>
        <w:t xml:space="preserve">. </w:t>
      </w:r>
      <w:r w:rsidRPr="005F04A8">
        <w:rPr>
          <w:rFonts w:asciiTheme="majorBidi" w:hAnsiTheme="majorBidi" w:cstheme="majorBidi"/>
          <w:color w:val="000000"/>
          <w:lang w:val="en-US"/>
        </w:rPr>
        <w:t>Corporate governance and Islamic bank performance</w:t>
      </w:r>
    </w:p>
    <w:p w:rsidR="00E268D5" w:rsidRPr="00693AF8" w:rsidRDefault="00E268D5" w:rsidP="00693AF8">
      <w:pPr>
        <w:jc w:val="both"/>
        <w:rPr>
          <w:rFonts w:asciiTheme="majorBidi" w:hAnsiTheme="majorBidi" w:cstheme="majorBidi"/>
          <w:b/>
          <w:bCs/>
          <w:color w:val="000000"/>
          <w:lang w:val="en-US"/>
        </w:rPr>
      </w:pPr>
    </w:p>
    <w:p w:rsidR="003A611A" w:rsidRPr="00E268D5" w:rsidRDefault="00E268D5" w:rsidP="00E268D5">
      <w:pPr>
        <w:jc w:val="center"/>
        <w:rPr>
          <w:rFonts w:asciiTheme="majorBidi" w:hAnsiTheme="majorBidi" w:cstheme="majorBidi"/>
          <w:b/>
          <w:bCs/>
          <w:lang w:val="en-US"/>
        </w:rPr>
      </w:pPr>
      <w:r w:rsidRPr="00E268D5">
        <w:rPr>
          <w:rFonts w:asciiTheme="majorBidi" w:hAnsiTheme="majorBidi" w:cstheme="majorBidi"/>
          <w:b/>
          <w:bCs/>
          <w:color w:val="000000"/>
          <w:sz w:val="16"/>
          <w:szCs w:val="16"/>
          <w:lang w:val="en-US"/>
        </w:rPr>
        <w:t>Table 4</w:t>
      </w:r>
      <w:proofErr w:type="gramStart"/>
      <w:r w:rsidRPr="00E268D5">
        <w:rPr>
          <w:rFonts w:asciiTheme="majorBidi" w:hAnsiTheme="majorBidi" w:cstheme="majorBidi"/>
          <w:b/>
          <w:bCs/>
          <w:color w:val="000000"/>
          <w:sz w:val="16"/>
          <w:szCs w:val="16"/>
          <w:lang w:val="en-US"/>
        </w:rPr>
        <w:t>:Corporate</w:t>
      </w:r>
      <w:proofErr w:type="gramEnd"/>
      <w:r w:rsidRPr="00E268D5">
        <w:rPr>
          <w:rFonts w:asciiTheme="majorBidi" w:hAnsiTheme="majorBidi" w:cstheme="majorBidi"/>
          <w:b/>
          <w:bCs/>
          <w:color w:val="000000"/>
          <w:sz w:val="16"/>
          <w:szCs w:val="16"/>
          <w:lang w:val="en-US"/>
        </w:rPr>
        <w:t xml:space="preserve"> governance disclosure index- bank performance: OLS regressions</w:t>
      </w:r>
    </w:p>
    <w:tbl>
      <w:tblPr>
        <w:tblStyle w:val="TableGrid"/>
        <w:tblW w:w="8363" w:type="dxa"/>
        <w:tblInd w:w="205" w:type="dxa"/>
        <w:tblLayout w:type="fixed"/>
        <w:tblLook w:val="04A0"/>
      </w:tblPr>
      <w:tblGrid>
        <w:gridCol w:w="2552"/>
        <w:gridCol w:w="992"/>
        <w:gridCol w:w="992"/>
        <w:gridCol w:w="992"/>
        <w:gridCol w:w="851"/>
        <w:gridCol w:w="992"/>
        <w:gridCol w:w="992"/>
      </w:tblGrid>
      <w:tr w:rsidR="00805E6D" w:rsidRPr="00E268D5" w:rsidTr="00E268D5">
        <w:trPr>
          <w:tblHeader/>
        </w:trPr>
        <w:tc>
          <w:tcPr>
            <w:tcW w:w="2552" w:type="dxa"/>
            <w:vMerge w:val="restart"/>
          </w:tcPr>
          <w:p w:rsidR="00805E6D" w:rsidRPr="00E268D5" w:rsidRDefault="00805E6D" w:rsidP="00750ED4">
            <w:pPr>
              <w:jc w:val="center"/>
              <w:rPr>
                <w:rFonts w:asciiTheme="majorBidi" w:hAnsiTheme="majorBidi" w:cstheme="majorBidi"/>
                <w:b/>
                <w:bCs/>
                <w:color w:val="000000"/>
                <w:sz w:val="16"/>
                <w:szCs w:val="16"/>
                <w:lang w:val="en-US"/>
              </w:rPr>
            </w:pPr>
          </w:p>
          <w:p w:rsidR="00805E6D" w:rsidRPr="00E268D5" w:rsidRDefault="00805E6D" w:rsidP="00750ED4">
            <w:pPr>
              <w:jc w:val="center"/>
              <w:rPr>
                <w:rFonts w:asciiTheme="majorBidi" w:hAnsiTheme="majorBidi" w:cstheme="majorBidi"/>
                <w:b/>
                <w:bCs/>
                <w:color w:val="000000"/>
                <w:sz w:val="16"/>
                <w:szCs w:val="16"/>
              </w:rPr>
            </w:pPr>
            <w:r w:rsidRPr="00E268D5">
              <w:rPr>
                <w:rFonts w:asciiTheme="majorBidi" w:hAnsiTheme="majorBidi" w:cstheme="majorBidi"/>
                <w:b/>
                <w:bCs/>
                <w:color w:val="000000"/>
                <w:sz w:val="16"/>
                <w:szCs w:val="16"/>
              </w:rPr>
              <w:t>Explanatory variables</w:t>
            </w:r>
          </w:p>
        </w:tc>
        <w:tc>
          <w:tcPr>
            <w:tcW w:w="1984" w:type="dxa"/>
            <w:gridSpan w:val="2"/>
          </w:tcPr>
          <w:p w:rsidR="00805E6D" w:rsidRPr="00E268D5" w:rsidRDefault="00805E6D" w:rsidP="00750ED4">
            <w:pPr>
              <w:jc w:val="center"/>
              <w:rPr>
                <w:rFonts w:asciiTheme="majorBidi" w:hAnsiTheme="majorBidi" w:cstheme="majorBidi"/>
                <w:b/>
                <w:bCs/>
                <w:color w:val="000000"/>
                <w:sz w:val="16"/>
                <w:szCs w:val="16"/>
              </w:rPr>
            </w:pPr>
            <w:r w:rsidRPr="00E268D5">
              <w:rPr>
                <w:rFonts w:asciiTheme="majorBidi" w:hAnsiTheme="majorBidi" w:cstheme="majorBidi"/>
                <w:b/>
                <w:bCs/>
                <w:color w:val="000000"/>
                <w:sz w:val="16"/>
                <w:szCs w:val="16"/>
              </w:rPr>
              <w:t>ROA</w:t>
            </w:r>
          </w:p>
        </w:tc>
        <w:tc>
          <w:tcPr>
            <w:tcW w:w="1843" w:type="dxa"/>
            <w:gridSpan w:val="2"/>
          </w:tcPr>
          <w:p w:rsidR="00805E6D" w:rsidRPr="00E268D5" w:rsidRDefault="00805E6D" w:rsidP="00750ED4">
            <w:pPr>
              <w:jc w:val="center"/>
              <w:rPr>
                <w:rFonts w:asciiTheme="majorBidi" w:hAnsiTheme="majorBidi" w:cstheme="majorBidi"/>
                <w:b/>
                <w:bCs/>
                <w:color w:val="000000"/>
                <w:sz w:val="16"/>
                <w:szCs w:val="16"/>
              </w:rPr>
            </w:pPr>
            <w:r w:rsidRPr="00E268D5">
              <w:rPr>
                <w:rFonts w:asciiTheme="majorBidi" w:hAnsiTheme="majorBidi" w:cstheme="majorBidi"/>
                <w:b/>
                <w:bCs/>
                <w:color w:val="000000"/>
                <w:sz w:val="16"/>
                <w:szCs w:val="16"/>
              </w:rPr>
              <w:t>ROE</w:t>
            </w:r>
          </w:p>
        </w:tc>
        <w:tc>
          <w:tcPr>
            <w:tcW w:w="1984" w:type="dxa"/>
            <w:gridSpan w:val="2"/>
          </w:tcPr>
          <w:p w:rsidR="00805E6D" w:rsidRPr="00E268D5" w:rsidRDefault="00805E6D" w:rsidP="00750ED4">
            <w:pPr>
              <w:jc w:val="center"/>
              <w:rPr>
                <w:rFonts w:asciiTheme="majorBidi" w:hAnsiTheme="majorBidi" w:cstheme="majorBidi"/>
                <w:b/>
                <w:bCs/>
                <w:color w:val="000000"/>
                <w:sz w:val="16"/>
                <w:szCs w:val="16"/>
              </w:rPr>
            </w:pPr>
            <w:r w:rsidRPr="00E268D5">
              <w:rPr>
                <w:rFonts w:asciiTheme="majorBidi" w:hAnsiTheme="majorBidi" w:cstheme="majorBidi"/>
                <w:b/>
                <w:bCs/>
                <w:color w:val="000000"/>
                <w:sz w:val="16"/>
                <w:szCs w:val="16"/>
              </w:rPr>
              <w:t>Tobin’s Q</w:t>
            </w:r>
          </w:p>
        </w:tc>
      </w:tr>
      <w:tr w:rsidR="00E268D5" w:rsidRPr="00E268D5" w:rsidTr="00E268D5">
        <w:trPr>
          <w:tblHeader/>
        </w:trPr>
        <w:tc>
          <w:tcPr>
            <w:tcW w:w="2552" w:type="dxa"/>
            <w:vMerge/>
          </w:tcPr>
          <w:p w:rsidR="00805E6D" w:rsidRPr="00E268D5" w:rsidRDefault="00805E6D" w:rsidP="00750ED4">
            <w:pPr>
              <w:jc w:val="both"/>
              <w:rPr>
                <w:rFonts w:asciiTheme="majorBidi" w:hAnsiTheme="majorBidi" w:cstheme="majorBidi"/>
                <w:b/>
                <w:bCs/>
                <w:color w:val="000000"/>
                <w:sz w:val="16"/>
                <w:szCs w:val="16"/>
              </w:rPr>
            </w:pPr>
          </w:p>
        </w:tc>
        <w:tc>
          <w:tcPr>
            <w:tcW w:w="992" w:type="dxa"/>
          </w:tcPr>
          <w:p w:rsidR="00805E6D" w:rsidRPr="00E268D5" w:rsidRDefault="00805E6D" w:rsidP="00750ED4">
            <w:pPr>
              <w:jc w:val="both"/>
              <w:rPr>
                <w:rFonts w:asciiTheme="majorBidi" w:hAnsiTheme="majorBidi" w:cstheme="majorBidi"/>
                <w:b/>
                <w:bCs/>
                <w:color w:val="000000"/>
                <w:sz w:val="16"/>
                <w:szCs w:val="16"/>
              </w:rPr>
            </w:pPr>
            <w:r w:rsidRPr="00E268D5">
              <w:rPr>
                <w:rFonts w:asciiTheme="majorBidi" w:hAnsiTheme="majorBidi" w:cstheme="majorBidi"/>
                <w:b/>
                <w:bCs/>
                <w:color w:val="000000"/>
                <w:sz w:val="16"/>
                <w:szCs w:val="16"/>
              </w:rPr>
              <w:t>Model 1</w:t>
            </w:r>
          </w:p>
        </w:tc>
        <w:tc>
          <w:tcPr>
            <w:tcW w:w="992" w:type="dxa"/>
          </w:tcPr>
          <w:p w:rsidR="00805E6D" w:rsidRPr="00E268D5" w:rsidRDefault="00805E6D" w:rsidP="00750ED4">
            <w:pPr>
              <w:rPr>
                <w:rFonts w:asciiTheme="majorBidi" w:hAnsiTheme="majorBidi" w:cstheme="majorBidi"/>
                <w:b/>
                <w:bCs/>
                <w:color w:val="000000"/>
                <w:sz w:val="16"/>
                <w:szCs w:val="16"/>
              </w:rPr>
            </w:pPr>
            <w:r w:rsidRPr="00E268D5">
              <w:rPr>
                <w:rFonts w:asciiTheme="majorBidi" w:hAnsiTheme="majorBidi" w:cstheme="majorBidi"/>
                <w:b/>
                <w:bCs/>
                <w:color w:val="000000"/>
                <w:sz w:val="16"/>
                <w:szCs w:val="16"/>
              </w:rPr>
              <w:t xml:space="preserve">Model2. </w:t>
            </w:r>
          </w:p>
        </w:tc>
        <w:tc>
          <w:tcPr>
            <w:tcW w:w="992" w:type="dxa"/>
          </w:tcPr>
          <w:p w:rsidR="00805E6D" w:rsidRPr="00E268D5" w:rsidRDefault="00805E6D" w:rsidP="00750ED4">
            <w:pPr>
              <w:jc w:val="both"/>
              <w:rPr>
                <w:rFonts w:asciiTheme="majorBidi" w:hAnsiTheme="majorBidi" w:cstheme="majorBidi"/>
                <w:b/>
                <w:bCs/>
                <w:color w:val="000000"/>
                <w:sz w:val="16"/>
                <w:szCs w:val="16"/>
              </w:rPr>
            </w:pPr>
            <w:r w:rsidRPr="00E268D5">
              <w:rPr>
                <w:rFonts w:asciiTheme="majorBidi" w:hAnsiTheme="majorBidi" w:cstheme="majorBidi"/>
                <w:b/>
                <w:bCs/>
                <w:color w:val="000000"/>
                <w:sz w:val="16"/>
                <w:szCs w:val="16"/>
              </w:rPr>
              <w:t>Model 1</w:t>
            </w:r>
          </w:p>
        </w:tc>
        <w:tc>
          <w:tcPr>
            <w:tcW w:w="851" w:type="dxa"/>
          </w:tcPr>
          <w:p w:rsidR="00805E6D" w:rsidRPr="00E268D5" w:rsidRDefault="00805E6D" w:rsidP="00750ED4">
            <w:pPr>
              <w:rPr>
                <w:rFonts w:asciiTheme="majorBidi" w:hAnsiTheme="majorBidi" w:cstheme="majorBidi"/>
                <w:b/>
                <w:bCs/>
                <w:color w:val="000000"/>
                <w:sz w:val="16"/>
                <w:szCs w:val="16"/>
              </w:rPr>
            </w:pPr>
            <w:r w:rsidRPr="00E268D5">
              <w:rPr>
                <w:rFonts w:asciiTheme="majorBidi" w:hAnsiTheme="majorBidi" w:cstheme="majorBidi"/>
                <w:b/>
                <w:bCs/>
                <w:color w:val="000000"/>
                <w:sz w:val="16"/>
                <w:szCs w:val="16"/>
              </w:rPr>
              <w:t>Model</w:t>
            </w:r>
            <w:r w:rsidR="00E268D5">
              <w:rPr>
                <w:rFonts w:asciiTheme="majorBidi" w:hAnsiTheme="majorBidi" w:cstheme="majorBidi"/>
                <w:b/>
                <w:bCs/>
                <w:color w:val="000000"/>
                <w:sz w:val="16"/>
                <w:szCs w:val="16"/>
              </w:rPr>
              <w:t xml:space="preserve"> </w:t>
            </w:r>
            <w:r w:rsidRPr="00E268D5">
              <w:rPr>
                <w:rFonts w:asciiTheme="majorBidi" w:hAnsiTheme="majorBidi" w:cstheme="majorBidi"/>
                <w:b/>
                <w:bCs/>
                <w:color w:val="000000"/>
                <w:sz w:val="16"/>
                <w:szCs w:val="16"/>
              </w:rPr>
              <w:t xml:space="preserve">2 </w:t>
            </w:r>
          </w:p>
        </w:tc>
        <w:tc>
          <w:tcPr>
            <w:tcW w:w="992" w:type="dxa"/>
          </w:tcPr>
          <w:p w:rsidR="00805E6D" w:rsidRPr="00E268D5" w:rsidRDefault="00805E6D" w:rsidP="00750ED4">
            <w:pPr>
              <w:jc w:val="both"/>
              <w:rPr>
                <w:rFonts w:asciiTheme="majorBidi" w:hAnsiTheme="majorBidi" w:cstheme="majorBidi"/>
                <w:b/>
                <w:bCs/>
                <w:color w:val="000000"/>
                <w:sz w:val="16"/>
                <w:szCs w:val="16"/>
              </w:rPr>
            </w:pPr>
            <w:r w:rsidRPr="00E268D5">
              <w:rPr>
                <w:rFonts w:asciiTheme="majorBidi" w:hAnsiTheme="majorBidi" w:cstheme="majorBidi"/>
                <w:b/>
                <w:bCs/>
                <w:color w:val="000000"/>
                <w:sz w:val="16"/>
                <w:szCs w:val="16"/>
              </w:rPr>
              <w:t>Model 1</w:t>
            </w:r>
          </w:p>
        </w:tc>
        <w:tc>
          <w:tcPr>
            <w:tcW w:w="992" w:type="dxa"/>
          </w:tcPr>
          <w:p w:rsidR="00805E6D" w:rsidRPr="00E268D5" w:rsidRDefault="00805E6D" w:rsidP="00750ED4">
            <w:pPr>
              <w:rPr>
                <w:rFonts w:asciiTheme="majorBidi" w:hAnsiTheme="majorBidi" w:cstheme="majorBidi"/>
                <w:b/>
                <w:bCs/>
                <w:color w:val="000000"/>
                <w:sz w:val="16"/>
                <w:szCs w:val="16"/>
              </w:rPr>
            </w:pPr>
            <w:r w:rsidRPr="00E268D5">
              <w:rPr>
                <w:rFonts w:asciiTheme="majorBidi" w:hAnsiTheme="majorBidi" w:cstheme="majorBidi"/>
                <w:b/>
                <w:bCs/>
                <w:color w:val="000000"/>
                <w:sz w:val="16"/>
                <w:szCs w:val="16"/>
              </w:rPr>
              <w:t>Model</w:t>
            </w:r>
            <w:r w:rsidR="00E268D5">
              <w:rPr>
                <w:rFonts w:asciiTheme="majorBidi" w:hAnsiTheme="majorBidi" w:cstheme="majorBidi"/>
                <w:b/>
                <w:bCs/>
                <w:color w:val="000000"/>
                <w:sz w:val="16"/>
                <w:szCs w:val="16"/>
              </w:rPr>
              <w:t xml:space="preserve"> </w:t>
            </w:r>
            <w:r w:rsidRPr="00E268D5">
              <w:rPr>
                <w:rFonts w:asciiTheme="majorBidi" w:hAnsiTheme="majorBidi" w:cstheme="majorBidi"/>
                <w:b/>
                <w:bCs/>
                <w:color w:val="000000"/>
                <w:sz w:val="16"/>
                <w:szCs w:val="16"/>
              </w:rPr>
              <w:t xml:space="preserve">2 </w:t>
            </w:r>
          </w:p>
        </w:tc>
      </w:tr>
      <w:tr w:rsidR="00E268D5" w:rsidRPr="00920443" w:rsidTr="00E268D5">
        <w:tc>
          <w:tcPr>
            <w:tcW w:w="2552" w:type="dxa"/>
          </w:tcPr>
          <w:p w:rsidR="00805E6D" w:rsidRPr="00920443" w:rsidRDefault="00805E6D" w:rsidP="00805E6D">
            <w:pPr>
              <w:rPr>
                <w:rFonts w:asciiTheme="majorBidi" w:hAnsiTheme="majorBidi" w:cstheme="majorBidi"/>
                <w:color w:val="000000"/>
                <w:sz w:val="16"/>
                <w:szCs w:val="16"/>
                <w:lang w:val="en-US"/>
              </w:rPr>
            </w:pPr>
            <w:r w:rsidRPr="00920443">
              <w:rPr>
                <w:rFonts w:asciiTheme="majorBidi" w:hAnsiTheme="majorBidi" w:cstheme="majorBidi"/>
                <w:color w:val="000000"/>
                <w:sz w:val="16"/>
                <w:szCs w:val="16"/>
                <w:lang w:val="en-US"/>
              </w:rPr>
              <w:t>Intercept</w:t>
            </w:r>
          </w:p>
          <w:p w:rsidR="00805E6D" w:rsidRPr="00920443" w:rsidRDefault="00805E6D" w:rsidP="00805E6D">
            <w:pPr>
              <w:rPr>
                <w:rFonts w:asciiTheme="majorBidi" w:hAnsiTheme="majorBidi" w:cstheme="majorBidi"/>
                <w:color w:val="000000"/>
                <w:sz w:val="16"/>
                <w:szCs w:val="16"/>
                <w:lang w:val="en-US"/>
              </w:rPr>
            </w:pPr>
          </w:p>
          <w:p w:rsidR="00805E6D" w:rsidRPr="00920443" w:rsidRDefault="00805E6D" w:rsidP="00805E6D">
            <w:pPr>
              <w:rPr>
                <w:rFonts w:asciiTheme="majorBidi" w:hAnsiTheme="majorBidi" w:cstheme="majorBidi"/>
                <w:color w:val="000000"/>
                <w:sz w:val="16"/>
                <w:szCs w:val="16"/>
                <w:lang w:val="en-US"/>
              </w:rPr>
            </w:pPr>
            <w:r w:rsidRPr="00920443">
              <w:rPr>
                <w:rFonts w:asciiTheme="majorBidi" w:hAnsiTheme="majorBidi" w:cstheme="majorBidi"/>
                <w:color w:val="000000"/>
                <w:sz w:val="16"/>
                <w:szCs w:val="16"/>
                <w:lang w:val="en-US"/>
              </w:rPr>
              <w:t>Corporate Governance index (CGDI)</w:t>
            </w:r>
          </w:p>
          <w:p w:rsidR="00805E6D" w:rsidRPr="00920443" w:rsidRDefault="00805E6D" w:rsidP="00805E6D">
            <w:pPr>
              <w:rPr>
                <w:rFonts w:asciiTheme="majorBidi" w:hAnsiTheme="majorBidi" w:cstheme="majorBidi"/>
                <w:color w:val="000000"/>
                <w:sz w:val="16"/>
                <w:szCs w:val="16"/>
                <w:lang w:val="en-US"/>
              </w:rPr>
            </w:pPr>
          </w:p>
          <w:p w:rsidR="00805E6D" w:rsidRPr="00920443" w:rsidRDefault="00805E6D" w:rsidP="00805E6D">
            <w:pPr>
              <w:rPr>
                <w:rFonts w:asciiTheme="majorBidi" w:hAnsiTheme="majorBidi" w:cstheme="majorBidi"/>
                <w:color w:val="000000"/>
                <w:sz w:val="16"/>
                <w:szCs w:val="16"/>
                <w:lang w:val="en-US"/>
              </w:rPr>
            </w:pPr>
            <w:r w:rsidRPr="00920443">
              <w:rPr>
                <w:rFonts w:asciiTheme="majorBidi" w:hAnsiTheme="majorBidi" w:cstheme="majorBidi"/>
                <w:color w:val="000000"/>
                <w:sz w:val="16"/>
                <w:szCs w:val="16"/>
                <w:lang w:val="en-US"/>
              </w:rPr>
              <w:t>Board of structure index</w:t>
            </w:r>
          </w:p>
          <w:p w:rsidR="00805E6D" w:rsidRPr="00920443" w:rsidRDefault="00805E6D" w:rsidP="00805E6D">
            <w:pPr>
              <w:rPr>
                <w:rFonts w:asciiTheme="majorBidi" w:hAnsiTheme="majorBidi" w:cstheme="majorBidi"/>
                <w:color w:val="000000"/>
                <w:sz w:val="16"/>
                <w:szCs w:val="16"/>
                <w:lang w:val="en-US"/>
              </w:rPr>
            </w:pPr>
          </w:p>
          <w:p w:rsidR="00805E6D" w:rsidRPr="00920443" w:rsidRDefault="00805E6D" w:rsidP="00805E6D">
            <w:pPr>
              <w:rPr>
                <w:rFonts w:asciiTheme="majorBidi" w:hAnsiTheme="majorBidi" w:cstheme="majorBidi"/>
                <w:color w:val="000000"/>
                <w:sz w:val="16"/>
                <w:szCs w:val="16"/>
                <w:lang w:val="en-US"/>
              </w:rPr>
            </w:pPr>
            <w:r w:rsidRPr="00920443">
              <w:rPr>
                <w:rFonts w:asciiTheme="majorBidi" w:hAnsiTheme="majorBidi" w:cstheme="majorBidi"/>
                <w:color w:val="000000"/>
                <w:sz w:val="16"/>
                <w:szCs w:val="16"/>
                <w:lang w:val="en-US"/>
              </w:rPr>
              <w:t>Risk management Index</w:t>
            </w:r>
          </w:p>
          <w:p w:rsidR="00805E6D" w:rsidRPr="00920443" w:rsidRDefault="00805E6D" w:rsidP="00805E6D">
            <w:pPr>
              <w:rPr>
                <w:rFonts w:asciiTheme="majorBidi" w:hAnsiTheme="majorBidi" w:cstheme="majorBidi"/>
                <w:color w:val="000000"/>
                <w:sz w:val="16"/>
                <w:szCs w:val="16"/>
                <w:lang w:val="en-US"/>
              </w:rPr>
            </w:pPr>
          </w:p>
          <w:p w:rsidR="00805E6D" w:rsidRPr="00920443" w:rsidRDefault="00805E6D" w:rsidP="00805E6D">
            <w:pPr>
              <w:rPr>
                <w:rFonts w:asciiTheme="majorBidi" w:hAnsiTheme="majorBidi" w:cstheme="majorBidi"/>
                <w:color w:val="000000"/>
                <w:sz w:val="16"/>
                <w:szCs w:val="16"/>
                <w:lang w:val="en-US"/>
              </w:rPr>
            </w:pPr>
            <w:r w:rsidRPr="00920443">
              <w:rPr>
                <w:rFonts w:asciiTheme="majorBidi" w:hAnsiTheme="majorBidi" w:cstheme="majorBidi"/>
                <w:color w:val="000000"/>
                <w:sz w:val="16"/>
                <w:szCs w:val="16"/>
                <w:lang w:val="en-US"/>
              </w:rPr>
              <w:t>Transparency and disclosure index</w:t>
            </w:r>
          </w:p>
          <w:p w:rsidR="00805E6D" w:rsidRPr="00920443" w:rsidRDefault="00805E6D" w:rsidP="00805E6D">
            <w:pPr>
              <w:rPr>
                <w:rFonts w:asciiTheme="majorBidi" w:hAnsiTheme="majorBidi" w:cstheme="majorBidi"/>
                <w:color w:val="000000"/>
                <w:sz w:val="16"/>
                <w:szCs w:val="16"/>
                <w:lang w:val="en-US"/>
              </w:rPr>
            </w:pPr>
          </w:p>
          <w:p w:rsidR="00805E6D" w:rsidRPr="00920443" w:rsidRDefault="00805E6D" w:rsidP="00805E6D">
            <w:pPr>
              <w:rPr>
                <w:rFonts w:asciiTheme="majorBidi" w:hAnsiTheme="majorBidi" w:cstheme="majorBidi"/>
                <w:color w:val="000000"/>
                <w:sz w:val="16"/>
                <w:szCs w:val="16"/>
                <w:lang w:val="en-US"/>
              </w:rPr>
            </w:pPr>
            <w:r w:rsidRPr="00920443">
              <w:rPr>
                <w:rFonts w:asciiTheme="majorBidi" w:hAnsiTheme="majorBidi" w:cstheme="majorBidi"/>
                <w:color w:val="000000"/>
                <w:sz w:val="16"/>
                <w:szCs w:val="16"/>
                <w:lang w:val="en-US"/>
              </w:rPr>
              <w:t>Audit committee Index</w:t>
            </w:r>
          </w:p>
          <w:p w:rsidR="00805E6D" w:rsidRPr="00920443" w:rsidRDefault="00805E6D" w:rsidP="00805E6D">
            <w:pPr>
              <w:rPr>
                <w:rFonts w:asciiTheme="majorBidi" w:hAnsiTheme="majorBidi" w:cstheme="majorBidi"/>
                <w:color w:val="000000"/>
                <w:sz w:val="16"/>
                <w:szCs w:val="16"/>
                <w:lang w:val="en-US"/>
              </w:rPr>
            </w:pPr>
          </w:p>
          <w:p w:rsidR="00805E6D" w:rsidRPr="00920443" w:rsidRDefault="00805E6D" w:rsidP="00805E6D">
            <w:pPr>
              <w:rPr>
                <w:rFonts w:asciiTheme="majorBidi" w:hAnsiTheme="majorBidi" w:cstheme="majorBidi"/>
                <w:color w:val="000000"/>
                <w:sz w:val="16"/>
                <w:szCs w:val="16"/>
                <w:lang w:val="en-US"/>
              </w:rPr>
            </w:pPr>
            <w:r w:rsidRPr="00920443">
              <w:rPr>
                <w:rFonts w:asciiTheme="majorBidi" w:hAnsiTheme="majorBidi" w:cstheme="majorBidi"/>
                <w:color w:val="000000"/>
                <w:sz w:val="16"/>
                <w:szCs w:val="16"/>
                <w:lang w:val="en-US"/>
              </w:rPr>
              <w:t>Sharia supervisory board index</w:t>
            </w:r>
          </w:p>
          <w:p w:rsidR="00805E6D" w:rsidRPr="00920443" w:rsidRDefault="00805E6D" w:rsidP="00805E6D">
            <w:pPr>
              <w:rPr>
                <w:rFonts w:asciiTheme="majorBidi" w:hAnsiTheme="majorBidi" w:cstheme="majorBidi"/>
                <w:color w:val="000000"/>
                <w:sz w:val="16"/>
                <w:szCs w:val="16"/>
                <w:lang w:val="en-US"/>
              </w:rPr>
            </w:pPr>
          </w:p>
          <w:p w:rsidR="00805E6D" w:rsidRPr="00920443" w:rsidRDefault="00805E6D" w:rsidP="00805E6D">
            <w:pPr>
              <w:rPr>
                <w:rFonts w:asciiTheme="majorBidi" w:hAnsiTheme="majorBidi" w:cstheme="majorBidi"/>
                <w:color w:val="000000"/>
                <w:sz w:val="16"/>
                <w:szCs w:val="16"/>
                <w:lang w:val="en-US"/>
              </w:rPr>
            </w:pPr>
            <w:r w:rsidRPr="00920443">
              <w:rPr>
                <w:rFonts w:asciiTheme="majorBidi" w:hAnsiTheme="majorBidi" w:cstheme="majorBidi"/>
                <w:color w:val="000000"/>
                <w:sz w:val="16"/>
                <w:szCs w:val="16"/>
                <w:lang w:val="en-US"/>
              </w:rPr>
              <w:t>Investment account holders index</w:t>
            </w:r>
          </w:p>
          <w:p w:rsidR="00805E6D" w:rsidRPr="00920443" w:rsidRDefault="00805E6D" w:rsidP="00805E6D">
            <w:pPr>
              <w:rPr>
                <w:rFonts w:asciiTheme="majorBidi" w:hAnsiTheme="majorBidi" w:cstheme="majorBidi"/>
                <w:color w:val="000000"/>
                <w:sz w:val="16"/>
                <w:szCs w:val="16"/>
                <w:lang w:val="en-US"/>
              </w:rPr>
            </w:pPr>
          </w:p>
          <w:p w:rsidR="00805E6D" w:rsidRPr="00920443" w:rsidRDefault="00805E6D" w:rsidP="00805E6D">
            <w:pPr>
              <w:rPr>
                <w:rFonts w:asciiTheme="majorBidi" w:hAnsiTheme="majorBidi" w:cstheme="majorBidi"/>
                <w:color w:val="000000"/>
                <w:sz w:val="16"/>
                <w:szCs w:val="16"/>
                <w:u w:val="single"/>
                <w:lang w:val="en-US"/>
              </w:rPr>
            </w:pPr>
            <w:r w:rsidRPr="00920443">
              <w:rPr>
                <w:rFonts w:asciiTheme="majorBidi" w:hAnsiTheme="majorBidi" w:cstheme="majorBidi"/>
                <w:color w:val="000000"/>
                <w:sz w:val="16"/>
                <w:szCs w:val="16"/>
                <w:u w:val="single"/>
                <w:lang w:val="en-US"/>
              </w:rPr>
              <w:t>Bank characteristics</w:t>
            </w:r>
          </w:p>
          <w:p w:rsidR="00805E6D" w:rsidRPr="00920443" w:rsidRDefault="00805E6D" w:rsidP="00805E6D">
            <w:pPr>
              <w:rPr>
                <w:rFonts w:asciiTheme="majorBidi" w:hAnsiTheme="majorBidi" w:cstheme="majorBidi"/>
                <w:color w:val="000000"/>
                <w:sz w:val="16"/>
                <w:szCs w:val="16"/>
                <w:lang w:val="en-US"/>
              </w:rPr>
            </w:pPr>
            <w:r w:rsidRPr="00920443">
              <w:rPr>
                <w:rFonts w:asciiTheme="majorBidi" w:hAnsiTheme="majorBidi" w:cstheme="majorBidi"/>
                <w:color w:val="000000"/>
                <w:sz w:val="16"/>
                <w:szCs w:val="16"/>
                <w:lang w:val="en-US"/>
              </w:rPr>
              <w:t>Bank Size</w:t>
            </w:r>
          </w:p>
          <w:p w:rsidR="00805E6D" w:rsidRPr="00920443" w:rsidRDefault="00805E6D" w:rsidP="00805E6D">
            <w:pPr>
              <w:rPr>
                <w:rFonts w:asciiTheme="majorBidi" w:hAnsiTheme="majorBidi" w:cstheme="majorBidi"/>
                <w:color w:val="000000"/>
                <w:sz w:val="16"/>
                <w:szCs w:val="16"/>
                <w:lang w:val="en-US"/>
              </w:rPr>
            </w:pPr>
          </w:p>
          <w:p w:rsidR="00805E6D" w:rsidRPr="00920443" w:rsidRDefault="00805E6D" w:rsidP="00805E6D">
            <w:pPr>
              <w:rPr>
                <w:rFonts w:asciiTheme="majorBidi" w:hAnsiTheme="majorBidi" w:cstheme="majorBidi"/>
                <w:color w:val="000000"/>
                <w:sz w:val="16"/>
                <w:szCs w:val="16"/>
                <w:lang w:val="en-US"/>
              </w:rPr>
            </w:pPr>
            <w:r w:rsidRPr="00920443">
              <w:rPr>
                <w:rFonts w:asciiTheme="majorBidi" w:hAnsiTheme="majorBidi" w:cstheme="majorBidi"/>
                <w:color w:val="000000"/>
                <w:sz w:val="16"/>
                <w:szCs w:val="16"/>
                <w:lang w:val="en-US"/>
              </w:rPr>
              <w:t>Equity</w:t>
            </w:r>
          </w:p>
          <w:p w:rsidR="00805E6D" w:rsidRPr="00920443" w:rsidRDefault="00805E6D" w:rsidP="00805E6D">
            <w:pPr>
              <w:rPr>
                <w:rFonts w:asciiTheme="majorBidi" w:hAnsiTheme="majorBidi" w:cstheme="majorBidi"/>
                <w:color w:val="000000"/>
                <w:sz w:val="16"/>
                <w:szCs w:val="16"/>
                <w:lang w:val="en-US"/>
              </w:rPr>
            </w:pPr>
          </w:p>
          <w:p w:rsidR="00805E6D" w:rsidRPr="00920443" w:rsidRDefault="00805E6D" w:rsidP="00805E6D">
            <w:pPr>
              <w:rPr>
                <w:rFonts w:asciiTheme="majorBidi" w:hAnsiTheme="majorBidi" w:cstheme="majorBidi"/>
                <w:color w:val="000000"/>
                <w:sz w:val="16"/>
                <w:szCs w:val="16"/>
                <w:lang w:val="en-US"/>
              </w:rPr>
            </w:pPr>
            <w:r w:rsidRPr="00920443">
              <w:rPr>
                <w:rFonts w:asciiTheme="majorBidi" w:hAnsiTheme="majorBidi" w:cstheme="majorBidi"/>
                <w:color w:val="000000"/>
                <w:sz w:val="16"/>
                <w:szCs w:val="16"/>
                <w:lang w:val="en-US"/>
              </w:rPr>
              <w:t>Risk</w:t>
            </w:r>
          </w:p>
          <w:p w:rsidR="00805E6D" w:rsidRPr="00920443" w:rsidRDefault="00805E6D" w:rsidP="00805E6D">
            <w:pPr>
              <w:rPr>
                <w:rFonts w:asciiTheme="majorBidi" w:hAnsiTheme="majorBidi" w:cstheme="majorBidi"/>
                <w:color w:val="000000"/>
                <w:sz w:val="16"/>
                <w:szCs w:val="16"/>
                <w:lang w:val="en-US"/>
              </w:rPr>
            </w:pPr>
          </w:p>
          <w:p w:rsidR="00805E6D" w:rsidRPr="00920443" w:rsidRDefault="00805E6D" w:rsidP="00805E6D">
            <w:pPr>
              <w:rPr>
                <w:rFonts w:asciiTheme="majorBidi" w:hAnsiTheme="majorBidi" w:cstheme="majorBidi"/>
                <w:color w:val="000000"/>
                <w:sz w:val="16"/>
                <w:szCs w:val="16"/>
                <w:u w:val="single"/>
                <w:lang w:val="en-US"/>
              </w:rPr>
            </w:pPr>
            <w:r w:rsidRPr="00920443">
              <w:rPr>
                <w:rFonts w:asciiTheme="majorBidi" w:hAnsiTheme="majorBidi" w:cstheme="majorBidi"/>
                <w:color w:val="000000"/>
                <w:sz w:val="16"/>
                <w:szCs w:val="16"/>
                <w:u w:val="single"/>
                <w:lang w:val="en-US"/>
              </w:rPr>
              <w:t>Financial industry and Macroeconomics. measures</w:t>
            </w:r>
          </w:p>
          <w:p w:rsidR="00805E6D" w:rsidRPr="00920443" w:rsidRDefault="00805E6D" w:rsidP="00805E6D">
            <w:pPr>
              <w:rPr>
                <w:rFonts w:asciiTheme="majorBidi" w:hAnsiTheme="majorBidi" w:cstheme="majorBidi"/>
                <w:color w:val="000000"/>
                <w:sz w:val="16"/>
                <w:szCs w:val="16"/>
                <w:lang w:val="en-US"/>
              </w:rPr>
            </w:pPr>
            <w:r w:rsidRPr="00920443">
              <w:rPr>
                <w:rFonts w:asciiTheme="majorBidi" w:hAnsiTheme="majorBidi" w:cstheme="majorBidi"/>
                <w:color w:val="000000"/>
                <w:sz w:val="16"/>
                <w:szCs w:val="16"/>
                <w:lang w:val="en-US"/>
              </w:rPr>
              <w:t xml:space="preserve">Banking sector development </w:t>
            </w:r>
          </w:p>
          <w:p w:rsidR="00805E6D" w:rsidRPr="00920443" w:rsidRDefault="00805E6D" w:rsidP="00805E6D">
            <w:pPr>
              <w:rPr>
                <w:rFonts w:asciiTheme="majorBidi" w:hAnsiTheme="majorBidi" w:cstheme="majorBidi"/>
                <w:color w:val="000000"/>
                <w:sz w:val="16"/>
                <w:szCs w:val="16"/>
                <w:lang w:val="en-US"/>
              </w:rPr>
            </w:pPr>
          </w:p>
          <w:p w:rsidR="00805E6D" w:rsidRPr="00920443" w:rsidRDefault="00805E6D" w:rsidP="00805E6D">
            <w:pPr>
              <w:rPr>
                <w:rFonts w:asciiTheme="majorBidi" w:hAnsiTheme="majorBidi" w:cstheme="majorBidi"/>
                <w:color w:val="000000"/>
                <w:sz w:val="16"/>
                <w:szCs w:val="16"/>
                <w:lang w:val="en-US"/>
              </w:rPr>
            </w:pPr>
            <w:r w:rsidRPr="00920443">
              <w:rPr>
                <w:rFonts w:asciiTheme="majorBidi" w:hAnsiTheme="majorBidi" w:cstheme="majorBidi"/>
                <w:color w:val="000000"/>
                <w:sz w:val="16"/>
                <w:szCs w:val="16"/>
                <w:lang w:val="en-US"/>
              </w:rPr>
              <w:t>Banking Concentration</w:t>
            </w:r>
          </w:p>
          <w:p w:rsidR="00805E6D" w:rsidRPr="00920443" w:rsidRDefault="00805E6D" w:rsidP="00805E6D">
            <w:pPr>
              <w:rPr>
                <w:rFonts w:asciiTheme="majorBidi" w:hAnsiTheme="majorBidi" w:cstheme="majorBidi"/>
                <w:color w:val="000000"/>
                <w:sz w:val="16"/>
                <w:szCs w:val="16"/>
                <w:lang w:val="en-US"/>
              </w:rPr>
            </w:pPr>
          </w:p>
          <w:p w:rsidR="00805E6D" w:rsidRPr="00920443" w:rsidRDefault="00805E6D" w:rsidP="00805E6D">
            <w:pPr>
              <w:rPr>
                <w:rFonts w:asciiTheme="majorBidi" w:hAnsiTheme="majorBidi" w:cstheme="majorBidi"/>
                <w:color w:val="000000"/>
                <w:sz w:val="16"/>
                <w:szCs w:val="16"/>
                <w:lang w:val="en-US"/>
              </w:rPr>
            </w:pPr>
            <w:r w:rsidRPr="00920443">
              <w:rPr>
                <w:rFonts w:asciiTheme="majorBidi" w:hAnsiTheme="majorBidi" w:cstheme="majorBidi"/>
                <w:color w:val="000000"/>
                <w:sz w:val="16"/>
                <w:szCs w:val="16"/>
                <w:lang w:val="en-US"/>
              </w:rPr>
              <w:t>GDP growth</w:t>
            </w:r>
          </w:p>
          <w:p w:rsidR="00805E6D" w:rsidRPr="00920443" w:rsidRDefault="00805E6D" w:rsidP="00805E6D">
            <w:pPr>
              <w:rPr>
                <w:rFonts w:asciiTheme="majorBidi" w:hAnsiTheme="majorBidi" w:cstheme="majorBidi"/>
                <w:color w:val="000000"/>
                <w:sz w:val="16"/>
                <w:szCs w:val="16"/>
                <w:lang w:val="en-US"/>
              </w:rPr>
            </w:pPr>
          </w:p>
          <w:p w:rsidR="00805E6D" w:rsidRPr="00920443" w:rsidRDefault="00805E6D" w:rsidP="00805E6D">
            <w:pPr>
              <w:rPr>
                <w:rFonts w:asciiTheme="majorBidi" w:hAnsiTheme="majorBidi" w:cstheme="majorBidi"/>
                <w:color w:val="000000"/>
                <w:sz w:val="16"/>
                <w:szCs w:val="16"/>
                <w:lang w:val="en-US"/>
              </w:rPr>
            </w:pPr>
            <w:r w:rsidRPr="00920443">
              <w:rPr>
                <w:rFonts w:asciiTheme="majorBidi" w:hAnsiTheme="majorBidi" w:cstheme="majorBidi"/>
                <w:color w:val="000000"/>
                <w:sz w:val="16"/>
                <w:szCs w:val="16"/>
                <w:lang w:val="en-US"/>
              </w:rPr>
              <w:t>Inflation</w:t>
            </w:r>
          </w:p>
          <w:p w:rsidR="00805E6D" w:rsidRPr="00920443" w:rsidRDefault="00805E6D" w:rsidP="00805E6D">
            <w:pPr>
              <w:rPr>
                <w:rFonts w:asciiTheme="majorBidi" w:hAnsiTheme="majorBidi" w:cstheme="majorBidi"/>
                <w:color w:val="000000"/>
                <w:sz w:val="16"/>
                <w:szCs w:val="16"/>
                <w:lang w:val="en-US"/>
              </w:rPr>
            </w:pPr>
          </w:p>
          <w:p w:rsidR="00805E6D" w:rsidRPr="00920443" w:rsidRDefault="00805E6D" w:rsidP="00805E6D">
            <w:pPr>
              <w:rPr>
                <w:rFonts w:asciiTheme="majorBidi" w:hAnsiTheme="majorBidi" w:cstheme="majorBidi"/>
                <w:color w:val="000000"/>
                <w:sz w:val="16"/>
                <w:szCs w:val="16"/>
                <w:lang w:val="en-US"/>
              </w:rPr>
            </w:pPr>
            <w:r w:rsidRPr="00920443">
              <w:rPr>
                <w:rFonts w:asciiTheme="majorBidi" w:hAnsiTheme="majorBidi" w:cstheme="majorBidi"/>
                <w:color w:val="000000"/>
                <w:sz w:val="16"/>
                <w:szCs w:val="16"/>
                <w:lang w:val="en-US"/>
              </w:rPr>
              <w:t>Adjusted R2</w:t>
            </w:r>
          </w:p>
          <w:p w:rsidR="00805E6D" w:rsidRPr="00920443" w:rsidRDefault="00805E6D" w:rsidP="00805E6D">
            <w:pPr>
              <w:rPr>
                <w:rFonts w:asciiTheme="majorBidi" w:hAnsiTheme="majorBidi" w:cstheme="majorBidi"/>
                <w:color w:val="000000"/>
                <w:sz w:val="16"/>
                <w:szCs w:val="16"/>
                <w:lang w:val="en-US"/>
              </w:rPr>
            </w:pPr>
            <w:r w:rsidRPr="00920443">
              <w:rPr>
                <w:rFonts w:asciiTheme="majorBidi" w:hAnsiTheme="majorBidi" w:cstheme="majorBidi"/>
                <w:color w:val="000000"/>
                <w:sz w:val="16"/>
                <w:szCs w:val="16"/>
                <w:lang w:val="en-US"/>
              </w:rPr>
              <w:t>F-statistic</w:t>
            </w:r>
          </w:p>
          <w:p w:rsidR="00805E6D" w:rsidRPr="00920443" w:rsidRDefault="00805E6D" w:rsidP="00805E6D">
            <w:pPr>
              <w:rPr>
                <w:rFonts w:asciiTheme="majorBidi" w:hAnsiTheme="majorBidi" w:cstheme="majorBidi"/>
                <w:color w:val="000000"/>
                <w:sz w:val="16"/>
                <w:szCs w:val="16"/>
                <w:lang w:val="en-US"/>
              </w:rPr>
            </w:pPr>
            <w:r w:rsidRPr="00920443">
              <w:rPr>
                <w:rFonts w:asciiTheme="majorBidi" w:hAnsiTheme="majorBidi" w:cstheme="majorBidi"/>
                <w:color w:val="000000"/>
                <w:sz w:val="16"/>
                <w:szCs w:val="16"/>
                <w:lang w:val="en-US"/>
              </w:rPr>
              <w:t>Observations</w:t>
            </w:r>
          </w:p>
        </w:tc>
        <w:tc>
          <w:tcPr>
            <w:tcW w:w="992" w:type="dxa"/>
          </w:tcPr>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lastRenderedPageBreak/>
              <w:t>2.462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(2.28)**</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0.027</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(2.01)**</w:t>
            </w: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0.146</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(2.19)**</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0.073</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(1.79)***</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0.012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(1.75)***</w:t>
            </w: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0.016</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(1.35)</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0.265</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(2.06)**</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0.005</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(0.95)</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0.071</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(1.20)</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0.346</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5.282*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81</w:t>
            </w:r>
          </w:p>
        </w:tc>
        <w:tc>
          <w:tcPr>
            <w:tcW w:w="992" w:type="dxa"/>
          </w:tcPr>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lastRenderedPageBreak/>
              <w:t>3.053</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(2.56)**</w:t>
            </w: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0.047</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(2.38)**</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0.009</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(3.72)*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0.012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(0.78)</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lastRenderedPageBreak/>
              <w:t>-0.115</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(-1.48)</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0.716</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(2.28)**</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0.045</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(0.95)</w:t>
            </w: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0.093</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(1.78)***</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0.186</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(2.13)**</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0.084</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(1.85)***</w:t>
            </w: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0.174</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(0.49)</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0.007</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(1.75)***</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0.008</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(1.13)</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0.041</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(0.92)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0.372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4.863*</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81</w:t>
            </w:r>
          </w:p>
        </w:tc>
        <w:tc>
          <w:tcPr>
            <w:tcW w:w="992" w:type="dxa"/>
          </w:tcPr>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lastRenderedPageBreak/>
              <w:t>0.942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(0.43)</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0.271</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(2.63)**</w:t>
            </w: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0.186</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(1.83)*</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0.098</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(2.95)**</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0.067</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(2.56)**</w:t>
            </w: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0.182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(1.62)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0.106</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(1.72)***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0.137</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(0.97)</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0.953</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(0.97)</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0.399</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2.430*</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81</w:t>
            </w:r>
          </w:p>
        </w:tc>
        <w:tc>
          <w:tcPr>
            <w:tcW w:w="851" w:type="dxa"/>
          </w:tcPr>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lastRenderedPageBreak/>
              <w:t>1.854</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(0.97)</w:t>
            </w: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0.763</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(0.85)</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0.054</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(2.81)**</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0.066</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(0.97)</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lastRenderedPageBreak/>
              <w:t>0.229</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(0.91)</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0.076</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(2.51)**</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0.592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(0.65)</w:t>
            </w: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0.407</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(1.63)***</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0.309</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(1.82)***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1.339</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(2.42)**</w:t>
            </w: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0.122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(0.43)</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0.872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(1.55)</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0.661</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(0.12)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0.597</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(0.96)</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0.108</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4.096*</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81</w:t>
            </w:r>
          </w:p>
        </w:tc>
        <w:tc>
          <w:tcPr>
            <w:tcW w:w="992" w:type="dxa"/>
          </w:tcPr>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lastRenderedPageBreak/>
              <w:t>0.136</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(0.84)</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0.572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(0.04)</w:t>
            </w: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0.006</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(0.92)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0.086</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(2.23)**</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0.0162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(1.42)</w:t>
            </w: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0.006</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(0.34)</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0.071</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(1.80)***</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0.410</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(0.06)</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0.098</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(0.72)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0.249</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3.621*</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81</w:t>
            </w:r>
          </w:p>
        </w:tc>
        <w:tc>
          <w:tcPr>
            <w:tcW w:w="992" w:type="dxa"/>
          </w:tcPr>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lastRenderedPageBreak/>
              <w:t>0.723</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(1.12)</w:t>
            </w: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0.021</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(0.08)</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0.062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(1.02)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0.421</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(0.05)</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lastRenderedPageBreak/>
              <w:t>0.127</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(1.41)</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0.286</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(0.25)</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0.009</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(0.82)</w:t>
            </w: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0.063</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(0.54)</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0.028</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(2.25)**</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0.194</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(1.49)</w:t>
            </w: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0.026</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(0.07)</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0.192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(2.46)**</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0.041</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(0.82)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0.006</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(1.01)</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0.221</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2.432*</w:t>
            </w:r>
          </w:p>
          <w:p w:rsidR="00805E6D" w:rsidRPr="00920443" w:rsidRDefault="00805E6D" w:rsidP="00750ED4">
            <w:pPr>
              <w:jc w:val="both"/>
              <w:rPr>
                <w:rFonts w:asciiTheme="majorBidi" w:hAnsiTheme="majorBidi" w:cstheme="majorBidi"/>
                <w:color w:val="000000"/>
                <w:sz w:val="16"/>
                <w:szCs w:val="16"/>
              </w:rPr>
            </w:pPr>
            <w:r w:rsidRPr="00920443">
              <w:rPr>
                <w:rFonts w:asciiTheme="majorBidi" w:hAnsiTheme="majorBidi" w:cstheme="majorBidi"/>
                <w:color w:val="000000"/>
                <w:sz w:val="16"/>
                <w:szCs w:val="16"/>
              </w:rPr>
              <w:t>81</w:t>
            </w:r>
          </w:p>
        </w:tc>
      </w:tr>
    </w:tbl>
    <w:p w:rsidR="00693AF8" w:rsidRPr="00693AF8" w:rsidRDefault="00693AF8" w:rsidP="00693AF8">
      <w:pPr>
        <w:jc w:val="both"/>
        <w:rPr>
          <w:rFonts w:asciiTheme="majorBidi" w:hAnsiTheme="majorBidi" w:cstheme="majorBidi"/>
          <w:lang w:val="en-US"/>
        </w:rPr>
      </w:pPr>
    </w:p>
    <w:p w:rsidR="00E268D5" w:rsidRDefault="00693AF8" w:rsidP="00E268D5">
      <w:pPr>
        <w:spacing w:line="240" w:lineRule="exact"/>
        <w:ind w:right="-28" w:firstLine="244"/>
        <w:jc w:val="both"/>
        <w:rPr>
          <w:rFonts w:asciiTheme="majorBidi" w:hAnsiTheme="majorBidi" w:cstheme="majorBidi"/>
          <w:color w:val="000000"/>
          <w:lang w:val="en-US"/>
        </w:rPr>
      </w:pPr>
      <w:r w:rsidRPr="00693AF8">
        <w:rPr>
          <w:rFonts w:asciiTheme="majorBidi" w:hAnsiTheme="majorBidi" w:cstheme="majorBidi"/>
          <w:color w:val="000000"/>
          <w:lang w:val="en-US"/>
        </w:rPr>
        <w:t>Once the corporate governance disclosure index is calculated for each Islamic bank using six dimensions of internal governance characteristics, the next step in the analysis is to assess the association between the performance of banks and corporate governance.</w:t>
      </w:r>
      <w:r w:rsidR="003335C2">
        <w:rPr>
          <w:rFonts w:asciiTheme="majorBidi" w:hAnsiTheme="majorBidi" w:cstheme="majorBidi"/>
          <w:color w:val="000000"/>
          <w:lang w:val="en-US"/>
        </w:rPr>
        <w:t xml:space="preserve"> </w:t>
      </w:r>
      <w:r w:rsidRPr="00693AF8">
        <w:rPr>
          <w:rFonts w:asciiTheme="majorBidi" w:hAnsiTheme="majorBidi" w:cstheme="majorBidi"/>
          <w:color w:val="000000"/>
          <w:lang w:val="en-US"/>
        </w:rPr>
        <w:t xml:space="preserve">Table 4 provides OLS regression results for each performance measure (ROA, ROE, Tobin’s Q) on corporate governance index, its components and control variables. Model 1 investigates the relationships between financial performance measures and CGDI, as well as control variables. For this model, the R2 is 0.321 and it appears highly significant (F-value= 7.278, p-value = 0.002). Consistent with our expectation, we find that CGDI is significant and positively related with bank performance measured by ROA and ROE. Then, we can conclude that good performance is associated with better operating performance. The result is consistent with the conclusions of several studies (e.g., Chang et al 2014; Core et al., 2005; </w:t>
      </w:r>
      <w:proofErr w:type="spellStart"/>
      <w:r w:rsidRPr="00693AF8">
        <w:rPr>
          <w:rFonts w:asciiTheme="majorBidi" w:hAnsiTheme="majorBidi" w:cstheme="majorBidi"/>
          <w:color w:val="000000"/>
          <w:lang w:val="en-US"/>
        </w:rPr>
        <w:t>Klapper</w:t>
      </w:r>
      <w:proofErr w:type="spellEnd"/>
      <w:r w:rsidRPr="00693AF8">
        <w:rPr>
          <w:rFonts w:asciiTheme="majorBidi" w:hAnsiTheme="majorBidi" w:cstheme="majorBidi"/>
          <w:color w:val="000000"/>
          <w:lang w:val="en-US"/>
        </w:rPr>
        <w:t xml:space="preserve"> and Love, 2004; Gompers et al., 2003). </w:t>
      </w:r>
    </w:p>
    <w:p w:rsidR="00693AF8" w:rsidRPr="00693AF8" w:rsidRDefault="00693AF8" w:rsidP="00E268D5">
      <w:pPr>
        <w:spacing w:line="240" w:lineRule="exact"/>
        <w:ind w:right="-28" w:firstLine="244"/>
        <w:jc w:val="both"/>
        <w:rPr>
          <w:rFonts w:asciiTheme="majorBidi" w:hAnsiTheme="majorBidi" w:cstheme="majorBidi"/>
          <w:color w:val="000000"/>
          <w:lang w:val="en-US"/>
        </w:rPr>
      </w:pPr>
      <w:r w:rsidRPr="00693AF8">
        <w:rPr>
          <w:rFonts w:asciiTheme="majorBidi" w:hAnsiTheme="majorBidi" w:cstheme="majorBidi"/>
          <w:color w:val="000000"/>
          <w:lang w:val="en-US"/>
        </w:rPr>
        <w:t xml:space="preserve">However, we do not find any consistent significant relation between the measure of internal corporate governance and stock market based measure of performance (Tobin’s Q). </w:t>
      </w:r>
      <w:proofErr w:type="spellStart"/>
      <w:r w:rsidRPr="00693AF8">
        <w:rPr>
          <w:rFonts w:asciiTheme="majorBidi" w:hAnsiTheme="majorBidi" w:cstheme="majorBidi"/>
          <w:color w:val="000000"/>
          <w:lang w:val="en-US"/>
        </w:rPr>
        <w:t>Bhagat</w:t>
      </w:r>
      <w:proofErr w:type="spellEnd"/>
      <w:r w:rsidRPr="00693AF8">
        <w:rPr>
          <w:rFonts w:asciiTheme="majorBidi" w:hAnsiTheme="majorBidi" w:cstheme="majorBidi"/>
          <w:color w:val="000000"/>
          <w:lang w:val="en-US"/>
        </w:rPr>
        <w:t xml:space="preserve"> and Bolton (2008, p.264) argue that, “if investors anticipate the corporate governance effect on performance, long term stock returns will not be significantly correlated with governance even if a significant correlation between performance and governance indeed exists”. To the extent governance impacts performance, measures of performance may be impacted for the next several years. Following the methodology of </w:t>
      </w:r>
      <w:proofErr w:type="spellStart"/>
      <w:r w:rsidRPr="00693AF8">
        <w:rPr>
          <w:rFonts w:asciiTheme="majorBidi" w:hAnsiTheme="majorBidi" w:cstheme="majorBidi"/>
          <w:color w:val="000000"/>
          <w:lang w:val="en-US"/>
        </w:rPr>
        <w:t>Bhagat</w:t>
      </w:r>
      <w:proofErr w:type="spellEnd"/>
      <w:r w:rsidRPr="00693AF8">
        <w:rPr>
          <w:rFonts w:asciiTheme="majorBidi" w:hAnsiTheme="majorBidi" w:cstheme="majorBidi"/>
          <w:color w:val="000000"/>
          <w:lang w:val="en-US"/>
        </w:rPr>
        <w:t xml:space="preserve"> and Bolton (2008), we use financial performance data in the year following the governance measurement, which also reduces the endogeneity problem. Then,</w:t>
      </w:r>
      <w:r w:rsidR="003335C2">
        <w:rPr>
          <w:rFonts w:asciiTheme="majorBidi" w:hAnsiTheme="majorBidi" w:cstheme="majorBidi"/>
          <w:color w:val="000000"/>
          <w:lang w:val="en-US"/>
        </w:rPr>
        <w:t xml:space="preserve"> </w:t>
      </w:r>
      <w:r w:rsidRPr="00693AF8">
        <w:rPr>
          <w:rFonts w:asciiTheme="majorBidi" w:hAnsiTheme="majorBidi" w:cstheme="majorBidi"/>
          <w:color w:val="000000"/>
          <w:lang w:val="en-US"/>
        </w:rPr>
        <w:t>we examine the effect of corporate governance from year n on Tobin’s Qin n+1 year. The finding (for brevity purposes, we do not report the findings in the paper, but are available upon request) also indicates that there is no significant relationship between CGDI and subsequent market performance (Tobin’s Q). In conclusion, as argued by Hutchinson and Gul (2004), accounting based performance measures, which reflect the results of management actions are preferable to market based measures when investigating the relationship between corporate governance and bank performance.</w:t>
      </w:r>
    </w:p>
    <w:p w:rsidR="00693AF8" w:rsidRPr="00693AF8" w:rsidRDefault="00693AF8" w:rsidP="00E268D5">
      <w:pPr>
        <w:spacing w:line="240" w:lineRule="exact"/>
        <w:ind w:right="-28" w:firstLine="244"/>
        <w:jc w:val="both"/>
        <w:rPr>
          <w:rFonts w:asciiTheme="majorBidi" w:hAnsiTheme="majorBidi" w:cstheme="majorBidi"/>
          <w:color w:val="000000"/>
          <w:lang w:val="en-US"/>
        </w:rPr>
      </w:pPr>
      <w:r w:rsidRPr="00693AF8">
        <w:rPr>
          <w:rFonts w:asciiTheme="majorBidi" w:hAnsiTheme="majorBidi" w:cstheme="majorBidi"/>
          <w:color w:val="000000"/>
          <w:lang w:val="en-US"/>
        </w:rPr>
        <w:t xml:space="preserve">Model 2 analyze the relationship of bank performance measures with the six sub-indices of corporate governance and all control variables. The results reported in table 4 indicate that only three components of corporate governance have positive and significant impact on operating performance. The boards of directors, risk management and Sharia supervisory board have significant influence on ROA and ROE. In </w:t>
      </w:r>
      <w:r w:rsidRPr="00693AF8">
        <w:rPr>
          <w:rFonts w:asciiTheme="majorBidi" w:hAnsiTheme="majorBidi" w:cstheme="majorBidi"/>
          <w:color w:val="000000"/>
          <w:lang w:val="en-US"/>
        </w:rPr>
        <w:lastRenderedPageBreak/>
        <w:t xml:space="preserve">terms of the board structure, it seems that the characteristics of the board concerning size, autonomy, structure and effectiveness have an impact on Islamic bank performance. This result is consistent with the study of Hassan and </w:t>
      </w:r>
      <w:proofErr w:type="spellStart"/>
      <w:r w:rsidRPr="00693AF8">
        <w:rPr>
          <w:rFonts w:asciiTheme="majorBidi" w:hAnsiTheme="majorBidi" w:cstheme="majorBidi"/>
          <w:color w:val="000000"/>
          <w:lang w:val="en-US"/>
        </w:rPr>
        <w:t>Mollah</w:t>
      </w:r>
      <w:proofErr w:type="spellEnd"/>
      <w:r w:rsidRPr="00693AF8">
        <w:rPr>
          <w:rFonts w:asciiTheme="majorBidi" w:hAnsiTheme="majorBidi" w:cstheme="majorBidi"/>
          <w:color w:val="000000"/>
          <w:lang w:val="en-US"/>
        </w:rPr>
        <w:t xml:space="preserve"> (2012), which found that board size and independence are the key driving forces for the Islamic banking profitability. The disclosure of different risks and the implementation of risk management committee also contribute to enhancing the performance of banks. Regarding the SSB index, as expected, the function and composition of the Sharia board played an important role in the profit making mechanism for Islamic banks.</w:t>
      </w:r>
    </w:p>
    <w:p w:rsidR="00693AF8" w:rsidRPr="00693AF8" w:rsidRDefault="00693AF8" w:rsidP="00E268D5">
      <w:pPr>
        <w:spacing w:line="240" w:lineRule="exact"/>
        <w:ind w:right="-28" w:firstLine="244"/>
        <w:jc w:val="both"/>
        <w:rPr>
          <w:rFonts w:asciiTheme="majorBidi" w:hAnsiTheme="majorBidi" w:cstheme="majorBidi"/>
          <w:color w:val="000000"/>
          <w:lang w:val="en-US"/>
        </w:rPr>
      </w:pPr>
      <w:r w:rsidRPr="00693AF8">
        <w:rPr>
          <w:rFonts w:asciiTheme="majorBidi" w:hAnsiTheme="majorBidi" w:cstheme="majorBidi"/>
          <w:color w:val="000000"/>
          <w:lang w:val="en-US"/>
        </w:rPr>
        <w:t>In table 4, we control also for various factors that are expected to have an impact on the performance of Islamic banks. Consistent with our expectation, bank size has a positive and statistical impact on ROA and ROE. Generally, the larger size of the bank, the higher the profitability (</w:t>
      </w:r>
      <w:proofErr w:type="spellStart"/>
      <w:r w:rsidRPr="00693AF8">
        <w:rPr>
          <w:rFonts w:asciiTheme="majorBidi" w:hAnsiTheme="majorBidi" w:cstheme="majorBidi"/>
          <w:color w:val="000000"/>
          <w:lang w:val="en-US"/>
        </w:rPr>
        <w:t>Smirlock</w:t>
      </w:r>
      <w:proofErr w:type="spellEnd"/>
      <w:r w:rsidRPr="00693AF8">
        <w:rPr>
          <w:rFonts w:asciiTheme="majorBidi" w:hAnsiTheme="majorBidi" w:cstheme="majorBidi"/>
          <w:color w:val="000000"/>
          <w:lang w:val="en-US"/>
        </w:rPr>
        <w:t xml:space="preserve">, 1985). However, for banks that become extremely large, the effect of size could be negative due to bureaucratic problems and poor expenses management. Referring to the impact of capitalization, it is observed from table 4 that this variable exhibits a positive relationship with all measures of bank performance. The result is consistent with previous research (for example, </w:t>
      </w:r>
      <w:proofErr w:type="spellStart"/>
      <w:r w:rsidRPr="00693AF8">
        <w:rPr>
          <w:rFonts w:asciiTheme="majorBidi" w:hAnsiTheme="majorBidi" w:cstheme="majorBidi"/>
          <w:color w:val="000000"/>
          <w:lang w:val="en-US"/>
        </w:rPr>
        <w:t>Sufian</w:t>
      </w:r>
      <w:proofErr w:type="spellEnd"/>
      <w:r w:rsidRPr="00693AF8">
        <w:rPr>
          <w:rFonts w:asciiTheme="majorBidi" w:hAnsiTheme="majorBidi" w:cstheme="majorBidi"/>
          <w:color w:val="000000"/>
          <w:lang w:val="en-US"/>
        </w:rPr>
        <w:t xml:space="preserve"> and Ha-</w:t>
      </w:r>
      <w:proofErr w:type="spellStart"/>
      <w:r w:rsidRPr="00693AF8">
        <w:rPr>
          <w:rFonts w:asciiTheme="majorBidi" w:hAnsiTheme="majorBidi" w:cstheme="majorBidi"/>
          <w:color w:val="000000"/>
          <w:lang w:val="en-US"/>
        </w:rPr>
        <w:t>Bibullah</w:t>
      </w:r>
      <w:proofErr w:type="spellEnd"/>
      <w:r w:rsidRPr="00693AF8">
        <w:rPr>
          <w:rFonts w:asciiTheme="majorBidi" w:hAnsiTheme="majorBidi" w:cstheme="majorBidi"/>
          <w:color w:val="000000"/>
          <w:lang w:val="en-US"/>
        </w:rPr>
        <w:t xml:space="preserve">, 2010;Ben </w:t>
      </w:r>
      <w:proofErr w:type="spellStart"/>
      <w:r w:rsidRPr="00693AF8">
        <w:rPr>
          <w:rFonts w:asciiTheme="majorBidi" w:hAnsiTheme="majorBidi" w:cstheme="majorBidi"/>
          <w:color w:val="000000"/>
          <w:lang w:val="en-US"/>
        </w:rPr>
        <w:t>Naceur</w:t>
      </w:r>
      <w:proofErr w:type="spellEnd"/>
      <w:r w:rsidRPr="00693AF8">
        <w:rPr>
          <w:rFonts w:asciiTheme="majorBidi" w:hAnsiTheme="majorBidi" w:cstheme="majorBidi"/>
          <w:color w:val="000000"/>
          <w:lang w:val="en-US"/>
        </w:rPr>
        <w:t xml:space="preserve"> and </w:t>
      </w:r>
      <w:proofErr w:type="spellStart"/>
      <w:r w:rsidRPr="00693AF8">
        <w:rPr>
          <w:rFonts w:asciiTheme="majorBidi" w:hAnsiTheme="majorBidi" w:cstheme="majorBidi"/>
          <w:color w:val="000000"/>
          <w:lang w:val="en-US"/>
        </w:rPr>
        <w:t>Omrane</w:t>
      </w:r>
      <w:proofErr w:type="spellEnd"/>
      <w:r w:rsidRPr="00693AF8">
        <w:rPr>
          <w:rFonts w:asciiTheme="majorBidi" w:hAnsiTheme="majorBidi" w:cstheme="majorBidi"/>
          <w:color w:val="000000"/>
          <w:lang w:val="en-US"/>
        </w:rPr>
        <w:t xml:space="preserve">, 2011; </w:t>
      </w:r>
      <w:proofErr w:type="spellStart"/>
      <w:r w:rsidRPr="00693AF8">
        <w:rPr>
          <w:rFonts w:asciiTheme="majorBidi" w:hAnsiTheme="majorBidi" w:cstheme="majorBidi"/>
          <w:color w:val="000000"/>
          <w:lang w:val="en-US"/>
        </w:rPr>
        <w:t>Pasiouras</w:t>
      </w:r>
      <w:proofErr w:type="spellEnd"/>
      <w:r w:rsidRPr="00693AF8">
        <w:rPr>
          <w:rFonts w:asciiTheme="majorBidi" w:hAnsiTheme="majorBidi" w:cstheme="majorBidi"/>
          <w:color w:val="000000"/>
          <w:lang w:val="en-US"/>
        </w:rPr>
        <w:t xml:space="preserve"> and </w:t>
      </w:r>
      <w:proofErr w:type="spellStart"/>
      <w:r w:rsidRPr="00693AF8">
        <w:rPr>
          <w:rFonts w:asciiTheme="majorBidi" w:hAnsiTheme="majorBidi" w:cstheme="majorBidi"/>
          <w:color w:val="000000"/>
          <w:lang w:val="en-US"/>
        </w:rPr>
        <w:t>Kosmidou</w:t>
      </w:r>
      <w:proofErr w:type="spellEnd"/>
      <w:r w:rsidRPr="00693AF8">
        <w:rPr>
          <w:rFonts w:asciiTheme="majorBidi" w:hAnsiTheme="majorBidi" w:cstheme="majorBidi"/>
          <w:color w:val="000000"/>
          <w:lang w:val="en-US"/>
        </w:rPr>
        <w:t xml:space="preserve">, 2007) providing support to the argument that well capitalized banks face lower costs of going bankrupt, thus lowers their funding cost, or that they have lower needs for external funding resulting in higher profitability. The coefficient of net loans to total assets is positive and statistically significant at the 5% level in the ROA and ROE regression models. This finding conforms </w:t>
      </w:r>
      <w:proofErr w:type="gramStart"/>
      <w:r w:rsidRPr="00693AF8">
        <w:rPr>
          <w:rFonts w:asciiTheme="majorBidi" w:hAnsiTheme="majorBidi" w:cstheme="majorBidi"/>
          <w:color w:val="000000"/>
          <w:lang w:val="en-US"/>
        </w:rPr>
        <w:t>with</w:t>
      </w:r>
      <w:proofErr w:type="gramEnd"/>
      <w:r w:rsidRPr="00693AF8">
        <w:rPr>
          <w:rFonts w:asciiTheme="majorBidi" w:hAnsiTheme="majorBidi" w:cstheme="majorBidi"/>
          <w:color w:val="000000"/>
          <w:lang w:val="en-US"/>
        </w:rPr>
        <w:t xml:space="preserve"> previous studies (such as, </w:t>
      </w:r>
      <w:proofErr w:type="spellStart"/>
      <w:r w:rsidRPr="00693AF8">
        <w:rPr>
          <w:rFonts w:asciiTheme="majorBidi" w:hAnsiTheme="majorBidi" w:cstheme="majorBidi"/>
          <w:color w:val="000000"/>
          <w:lang w:val="en-US"/>
        </w:rPr>
        <w:t>Bachir</w:t>
      </w:r>
      <w:proofErr w:type="spellEnd"/>
      <w:r w:rsidRPr="00693AF8">
        <w:rPr>
          <w:rFonts w:asciiTheme="majorBidi" w:hAnsiTheme="majorBidi" w:cstheme="majorBidi"/>
          <w:color w:val="000000"/>
          <w:lang w:val="en-US"/>
        </w:rPr>
        <w:t xml:space="preserve"> and Hassan, 2003; </w:t>
      </w:r>
      <w:proofErr w:type="spellStart"/>
      <w:r w:rsidRPr="00693AF8">
        <w:rPr>
          <w:rFonts w:asciiTheme="majorBidi" w:hAnsiTheme="majorBidi" w:cstheme="majorBidi"/>
          <w:color w:val="000000"/>
          <w:lang w:val="en-US"/>
        </w:rPr>
        <w:t>Srairi</w:t>
      </w:r>
      <w:proofErr w:type="spellEnd"/>
      <w:r w:rsidRPr="00693AF8">
        <w:rPr>
          <w:rFonts w:asciiTheme="majorBidi" w:hAnsiTheme="majorBidi" w:cstheme="majorBidi"/>
          <w:color w:val="000000"/>
          <w:lang w:val="en-US"/>
        </w:rPr>
        <w:t>, 2009) and indicates that more loans in banks lead to higher profitability. The variables related to macroeconomic conditions and to development of the banking sector seem to have no impact in all regression models. Finally, the relationship between concentration indicator and all measures of performance is positive and significant. This positive effect is mostly related to the efficiency of more bank lending due to cost advantages as bank reap economies of scale in the production of banking services (</w:t>
      </w:r>
      <w:proofErr w:type="spellStart"/>
      <w:r w:rsidRPr="00693AF8">
        <w:rPr>
          <w:rFonts w:asciiTheme="majorBidi" w:hAnsiTheme="majorBidi" w:cstheme="majorBidi"/>
          <w:color w:val="000000"/>
          <w:lang w:val="en-US"/>
        </w:rPr>
        <w:t>Srairi</w:t>
      </w:r>
      <w:proofErr w:type="spellEnd"/>
      <w:r w:rsidRPr="00693AF8">
        <w:rPr>
          <w:rFonts w:asciiTheme="majorBidi" w:hAnsiTheme="majorBidi" w:cstheme="majorBidi"/>
          <w:color w:val="000000"/>
          <w:lang w:val="en-US"/>
        </w:rPr>
        <w:t>, 2009).</w:t>
      </w:r>
    </w:p>
    <w:p w:rsidR="00E268D5" w:rsidRDefault="00E268D5" w:rsidP="00693AF8">
      <w:pPr>
        <w:jc w:val="both"/>
        <w:rPr>
          <w:rFonts w:asciiTheme="majorBidi" w:hAnsiTheme="majorBidi" w:cstheme="majorBidi"/>
          <w:b/>
          <w:color w:val="000000"/>
          <w:lang w:val="en-US"/>
        </w:rPr>
      </w:pPr>
    </w:p>
    <w:p w:rsidR="00693AF8" w:rsidRPr="005F04A8" w:rsidRDefault="00E268D5" w:rsidP="00693AF8">
      <w:pPr>
        <w:jc w:val="both"/>
        <w:rPr>
          <w:rFonts w:asciiTheme="majorBidi" w:hAnsiTheme="majorBidi" w:cstheme="majorBidi"/>
          <w:bCs/>
          <w:color w:val="000000"/>
          <w:lang w:val="en-US"/>
        </w:rPr>
      </w:pPr>
      <w:r w:rsidRPr="005F04A8">
        <w:rPr>
          <w:rFonts w:asciiTheme="majorBidi" w:hAnsiTheme="majorBidi" w:cstheme="majorBidi"/>
          <w:bCs/>
          <w:color w:val="000000"/>
          <w:lang w:val="en-US"/>
        </w:rPr>
        <w:t>4.</w:t>
      </w:r>
      <w:r w:rsidR="00693AF8" w:rsidRPr="005F04A8">
        <w:rPr>
          <w:rFonts w:asciiTheme="majorBidi" w:hAnsiTheme="majorBidi" w:cstheme="majorBidi"/>
          <w:bCs/>
          <w:color w:val="000000"/>
          <w:lang w:val="en-US"/>
        </w:rPr>
        <w:t>3</w:t>
      </w:r>
      <w:r w:rsidRPr="005F04A8">
        <w:rPr>
          <w:rFonts w:asciiTheme="majorBidi" w:hAnsiTheme="majorBidi" w:cstheme="majorBidi"/>
          <w:bCs/>
          <w:color w:val="000000"/>
          <w:lang w:val="en-US"/>
        </w:rPr>
        <w:t xml:space="preserve">. </w:t>
      </w:r>
      <w:r w:rsidR="00693AF8" w:rsidRPr="005F04A8">
        <w:rPr>
          <w:rFonts w:asciiTheme="majorBidi" w:hAnsiTheme="majorBidi" w:cstheme="majorBidi"/>
          <w:bCs/>
          <w:color w:val="000000"/>
          <w:lang w:val="en-US"/>
        </w:rPr>
        <w:t>Robustness analysis</w:t>
      </w:r>
    </w:p>
    <w:p w:rsidR="00E268D5" w:rsidRDefault="00E268D5" w:rsidP="00693AF8">
      <w:pPr>
        <w:jc w:val="both"/>
        <w:rPr>
          <w:rFonts w:asciiTheme="majorBidi" w:hAnsiTheme="majorBidi" w:cstheme="majorBidi"/>
          <w:lang w:val="en-US"/>
        </w:rPr>
      </w:pPr>
    </w:p>
    <w:p w:rsidR="00E268D5" w:rsidRPr="00E268D5" w:rsidRDefault="00E268D5" w:rsidP="00E268D5">
      <w:pPr>
        <w:jc w:val="center"/>
        <w:rPr>
          <w:rFonts w:asciiTheme="majorBidi" w:hAnsiTheme="majorBidi" w:cstheme="majorBidi"/>
          <w:b/>
          <w:bCs/>
          <w:color w:val="000000"/>
          <w:sz w:val="16"/>
          <w:szCs w:val="16"/>
          <w:lang w:val="en-US"/>
        </w:rPr>
      </w:pPr>
      <w:r w:rsidRPr="00E268D5">
        <w:rPr>
          <w:rFonts w:asciiTheme="majorBidi" w:hAnsiTheme="majorBidi" w:cstheme="majorBidi"/>
          <w:b/>
          <w:bCs/>
          <w:color w:val="000000"/>
          <w:sz w:val="16"/>
          <w:szCs w:val="16"/>
          <w:lang w:val="en-US"/>
        </w:rPr>
        <w:t>Table 5</w:t>
      </w:r>
      <w:proofErr w:type="gramStart"/>
      <w:r w:rsidRPr="00E268D5">
        <w:rPr>
          <w:rFonts w:asciiTheme="majorBidi" w:hAnsiTheme="majorBidi" w:cstheme="majorBidi"/>
          <w:b/>
          <w:bCs/>
          <w:color w:val="000000"/>
          <w:sz w:val="16"/>
          <w:szCs w:val="16"/>
          <w:lang w:val="en-US"/>
        </w:rPr>
        <w:t>:Corporate</w:t>
      </w:r>
      <w:proofErr w:type="gramEnd"/>
      <w:r w:rsidRPr="00E268D5">
        <w:rPr>
          <w:rFonts w:asciiTheme="majorBidi" w:hAnsiTheme="majorBidi" w:cstheme="majorBidi"/>
          <w:b/>
          <w:bCs/>
          <w:color w:val="000000"/>
          <w:sz w:val="16"/>
          <w:szCs w:val="16"/>
          <w:lang w:val="en-US"/>
        </w:rPr>
        <w:t xml:space="preserve"> governance disclosure index - bank performance: GMM regressions</w:t>
      </w:r>
    </w:p>
    <w:tbl>
      <w:tblPr>
        <w:tblStyle w:val="TableGrid"/>
        <w:tblW w:w="8363" w:type="dxa"/>
        <w:tblInd w:w="250" w:type="dxa"/>
        <w:tblLayout w:type="fixed"/>
        <w:tblLook w:val="04A0"/>
      </w:tblPr>
      <w:tblGrid>
        <w:gridCol w:w="2410"/>
        <w:gridCol w:w="992"/>
        <w:gridCol w:w="992"/>
        <w:gridCol w:w="993"/>
        <w:gridCol w:w="992"/>
        <w:gridCol w:w="992"/>
        <w:gridCol w:w="992"/>
      </w:tblGrid>
      <w:tr w:rsidR="00E268D5" w:rsidRPr="00E268D5" w:rsidTr="00E268D5">
        <w:tc>
          <w:tcPr>
            <w:tcW w:w="2410" w:type="dxa"/>
            <w:vMerge w:val="restart"/>
          </w:tcPr>
          <w:p w:rsidR="00E268D5" w:rsidRPr="00E268D5" w:rsidRDefault="00E268D5" w:rsidP="00750ED4">
            <w:pPr>
              <w:jc w:val="center"/>
              <w:rPr>
                <w:rFonts w:asciiTheme="majorBidi" w:hAnsiTheme="majorBidi" w:cstheme="majorBidi"/>
                <w:b/>
                <w:bCs/>
                <w:color w:val="000000"/>
                <w:sz w:val="16"/>
                <w:szCs w:val="16"/>
                <w:lang w:val="en-US"/>
              </w:rPr>
            </w:pPr>
          </w:p>
          <w:p w:rsidR="00E268D5" w:rsidRPr="00E268D5" w:rsidRDefault="00E268D5" w:rsidP="00750ED4">
            <w:pPr>
              <w:jc w:val="center"/>
              <w:rPr>
                <w:rFonts w:asciiTheme="majorBidi" w:hAnsiTheme="majorBidi" w:cstheme="majorBidi"/>
                <w:b/>
                <w:bCs/>
                <w:color w:val="000000"/>
                <w:sz w:val="16"/>
                <w:szCs w:val="16"/>
              </w:rPr>
            </w:pPr>
            <w:r w:rsidRPr="00E268D5">
              <w:rPr>
                <w:rFonts w:asciiTheme="majorBidi" w:hAnsiTheme="majorBidi" w:cstheme="majorBidi"/>
                <w:b/>
                <w:bCs/>
                <w:color w:val="000000"/>
                <w:sz w:val="16"/>
                <w:szCs w:val="16"/>
              </w:rPr>
              <w:t>Explanatory variables</w:t>
            </w:r>
          </w:p>
        </w:tc>
        <w:tc>
          <w:tcPr>
            <w:tcW w:w="1984" w:type="dxa"/>
            <w:gridSpan w:val="2"/>
          </w:tcPr>
          <w:p w:rsidR="00E268D5" w:rsidRPr="00E268D5" w:rsidRDefault="00E268D5" w:rsidP="00750ED4">
            <w:pPr>
              <w:jc w:val="center"/>
              <w:rPr>
                <w:rFonts w:asciiTheme="majorBidi" w:hAnsiTheme="majorBidi" w:cstheme="majorBidi"/>
                <w:b/>
                <w:bCs/>
                <w:color w:val="000000"/>
                <w:sz w:val="16"/>
                <w:szCs w:val="16"/>
              </w:rPr>
            </w:pPr>
            <w:r w:rsidRPr="00E268D5">
              <w:rPr>
                <w:rFonts w:asciiTheme="majorBidi" w:hAnsiTheme="majorBidi" w:cstheme="majorBidi"/>
                <w:b/>
                <w:bCs/>
                <w:color w:val="000000"/>
                <w:sz w:val="16"/>
                <w:szCs w:val="16"/>
              </w:rPr>
              <w:t>ROA</w:t>
            </w:r>
          </w:p>
        </w:tc>
        <w:tc>
          <w:tcPr>
            <w:tcW w:w="1985" w:type="dxa"/>
            <w:gridSpan w:val="2"/>
          </w:tcPr>
          <w:p w:rsidR="00E268D5" w:rsidRPr="00E268D5" w:rsidRDefault="00E268D5" w:rsidP="00750ED4">
            <w:pPr>
              <w:jc w:val="center"/>
              <w:rPr>
                <w:rFonts w:asciiTheme="majorBidi" w:hAnsiTheme="majorBidi" w:cstheme="majorBidi"/>
                <w:b/>
                <w:bCs/>
                <w:color w:val="000000"/>
                <w:sz w:val="16"/>
                <w:szCs w:val="16"/>
              </w:rPr>
            </w:pPr>
            <w:r w:rsidRPr="00E268D5">
              <w:rPr>
                <w:rFonts w:asciiTheme="majorBidi" w:hAnsiTheme="majorBidi" w:cstheme="majorBidi"/>
                <w:b/>
                <w:bCs/>
                <w:color w:val="000000"/>
                <w:sz w:val="16"/>
                <w:szCs w:val="16"/>
              </w:rPr>
              <w:t>ROE</w:t>
            </w:r>
          </w:p>
        </w:tc>
        <w:tc>
          <w:tcPr>
            <w:tcW w:w="1984" w:type="dxa"/>
            <w:gridSpan w:val="2"/>
          </w:tcPr>
          <w:p w:rsidR="00E268D5" w:rsidRPr="00E268D5" w:rsidRDefault="00E268D5" w:rsidP="00750ED4">
            <w:pPr>
              <w:jc w:val="center"/>
              <w:rPr>
                <w:rFonts w:asciiTheme="majorBidi" w:hAnsiTheme="majorBidi" w:cstheme="majorBidi"/>
                <w:b/>
                <w:bCs/>
                <w:color w:val="000000"/>
                <w:sz w:val="16"/>
                <w:szCs w:val="16"/>
              </w:rPr>
            </w:pPr>
            <w:r w:rsidRPr="00E268D5">
              <w:rPr>
                <w:rFonts w:asciiTheme="majorBidi" w:hAnsiTheme="majorBidi" w:cstheme="majorBidi"/>
                <w:b/>
                <w:bCs/>
                <w:color w:val="000000"/>
                <w:sz w:val="16"/>
                <w:szCs w:val="16"/>
              </w:rPr>
              <w:t>Tobin’s Q</w:t>
            </w:r>
          </w:p>
        </w:tc>
      </w:tr>
      <w:tr w:rsidR="00E268D5" w:rsidRPr="00E268D5" w:rsidTr="00E268D5">
        <w:tc>
          <w:tcPr>
            <w:tcW w:w="2410" w:type="dxa"/>
            <w:vMerge/>
          </w:tcPr>
          <w:p w:rsidR="00E268D5" w:rsidRPr="00E268D5" w:rsidRDefault="00E268D5" w:rsidP="00750ED4">
            <w:pPr>
              <w:jc w:val="both"/>
              <w:rPr>
                <w:rFonts w:asciiTheme="majorBidi" w:hAnsiTheme="majorBidi" w:cstheme="majorBidi"/>
                <w:b/>
                <w:bCs/>
                <w:color w:val="000000"/>
                <w:sz w:val="16"/>
                <w:szCs w:val="16"/>
              </w:rPr>
            </w:pPr>
          </w:p>
        </w:tc>
        <w:tc>
          <w:tcPr>
            <w:tcW w:w="992" w:type="dxa"/>
          </w:tcPr>
          <w:p w:rsidR="00E268D5" w:rsidRPr="00E268D5" w:rsidRDefault="00E268D5" w:rsidP="00750ED4">
            <w:pPr>
              <w:jc w:val="both"/>
              <w:rPr>
                <w:rFonts w:asciiTheme="majorBidi" w:hAnsiTheme="majorBidi" w:cstheme="majorBidi"/>
                <w:b/>
                <w:bCs/>
                <w:color w:val="000000" w:themeColor="text1"/>
                <w:sz w:val="16"/>
                <w:szCs w:val="16"/>
              </w:rPr>
            </w:pPr>
            <w:r w:rsidRPr="00E268D5">
              <w:rPr>
                <w:rFonts w:asciiTheme="majorBidi" w:hAnsiTheme="majorBidi" w:cstheme="majorBidi"/>
                <w:b/>
                <w:bCs/>
                <w:color w:val="000000" w:themeColor="text1"/>
                <w:sz w:val="16"/>
                <w:szCs w:val="16"/>
              </w:rPr>
              <w:t>Model 1</w:t>
            </w:r>
          </w:p>
        </w:tc>
        <w:tc>
          <w:tcPr>
            <w:tcW w:w="992" w:type="dxa"/>
          </w:tcPr>
          <w:p w:rsidR="00E268D5" w:rsidRPr="00E268D5" w:rsidRDefault="00E268D5" w:rsidP="00750ED4">
            <w:pPr>
              <w:rPr>
                <w:rFonts w:asciiTheme="majorBidi" w:hAnsiTheme="majorBidi" w:cstheme="majorBidi"/>
                <w:b/>
                <w:bCs/>
                <w:color w:val="000000"/>
                <w:sz w:val="16"/>
                <w:szCs w:val="16"/>
              </w:rPr>
            </w:pPr>
            <w:r w:rsidRPr="00E268D5">
              <w:rPr>
                <w:rFonts w:asciiTheme="majorBidi" w:hAnsiTheme="majorBidi" w:cstheme="majorBidi"/>
                <w:b/>
                <w:bCs/>
                <w:color w:val="000000"/>
                <w:sz w:val="16"/>
                <w:szCs w:val="16"/>
              </w:rPr>
              <w:t>Model2</w:t>
            </w:r>
          </w:p>
        </w:tc>
        <w:tc>
          <w:tcPr>
            <w:tcW w:w="993" w:type="dxa"/>
          </w:tcPr>
          <w:p w:rsidR="00E268D5" w:rsidRPr="00E268D5" w:rsidRDefault="00E268D5" w:rsidP="00750ED4">
            <w:pPr>
              <w:jc w:val="both"/>
              <w:rPr>
                <w:rFonts w:asciiTheme="majorBidi" w:hAnsiTheme="majorBidi" w:cstheme="majorBidi"/>
                <w:b/>
                <w:bCs/>
                <w:color w:val="000000"/>
                <w:sz w:val="16"/>
                <w:szCs w:val="16"/>
              </w:rPr>
            </w:pPr>
            <w:r w:rsidRPr="00E268D5">
              <w:rPr>
                <w:rFonts w:asciiTheme="majorBidi" w:hAnsiTheme="majorBidi" w:cstheme="majorBidi"/>
                <w:b/>
                <w:bCs/>
                <w:color w:val="000000"/>
                <w:sz w:val="16"/>
                <w:szCs w:val="16"/>
              </w:rPr>
              <w:t>Model 1</w:t>
            </w:r>
          </w:p>
        </w:tc>
        <w:tc>
          <w:tcPr>
            <w:tcW w:w="992" w:type="dxa"/>
          </w:tcPr>
          <w:p w:rsidR="00E268D5" w:rsidRPr="00E268D5" w:rsidRDefault="00E268D5" w:rsidP="00750ED4">
            <w:pPr>
              <w:rPr>
                <w:rFonts w:asciiTheme="majorBidi" w:hAnsiTheme="majorBidi" w:cstheme="majorBidi"/>
                <w:b/>
                <w:bCs/>
                <w:color w:val="000000"/>
                <w:sz w:val="16"/>
                <w:szCs w:val="16"/>
              </w:rPr>
            </w:pPr>
            <w:r w:rsidRPr="00E268D5">
              <w:rPr>
                <w:rFonts w:asciiTheme="majorBidi" w:hAnsiTheme="majorBidi" w:cstheme="majorBidi"/>
                <w:b/>
                <w:bCs/>
                <w:color w:val="000000"/>
                <w:sz w:val="16"/>
                <w:szCs w:val="16"/>
              </w:rPr>
              <w:t>Model2</w:t>
            </w:r>
          </w:p>
        </w:tc>
        <w:tc>
          <w:tcPr>
            <w:tcW w:w="992" w:type="dxa"/>
          </w:tcPr>
          <w:p w:rsidR="00E268D5" w:rsidRPr="00E268D5" w:rsidRDefault="00E268D5" w:rsidP="00750ED4">
            <w:pPr>
              <w:jc w:val="both"/>
              <w:rPr>
                <w:rFonts w:asciiTheme="majorBidi" w:hAnsiTheme="majorBidi" w:cstheme="majorBidi"/>
                <w:b/>
                <w:bCs/>
                <w:color w:val="000000"/>
                <w:sz w:val="16"/>
                <w:szCs w:val="16"/>
              </w:rPr>
            </w:pPr>
            <w:r w:rsidRPr="00E268D5">
              <w:rPr>
                <w:rFonts w:asciiTheme="majorBidi" w:hAnsiTheme="majorBidi" w:cstheme="majorBidi"/>
                <w:b/>
                <w:bCs/>
                <w:color w:val="000000"/>
                <w:sz w:val="16"/>
                <w:szCs w:val="16"/>
              </w:rPr>
              <w:t>Model 1</w:t>
            </w:r>
          </w:p>
        </w:tc>
        <w:tc>
          <w:tcPr>
            <w:tcW w:w="992" w:type="dxa"/>
          </w:tcPr>
          <w:p w:rsidR="00E268D5" w:rsidRPr="00E268D5" w:rsidRDefault="00E268D5" w:rsidP="00750ED4">
            <w:pPr>
              <w:rPr>
                <w:rFonts w:asciiTheme="majorBidi" w:hAnsiTheme="majorBidi" w:cstheme="majorBidi"/>
                <w:b/>
                <w:bCs/>
                <w:color w:val="000000"/>
                <w:sz w:val="16"/>
                <w:szCs w:val="16"/>
              </w:rPr>
            </w:pPr>
            <w:r w:rsidRPr="00E268D5">
              <w:rPr>
                <w:rFonts w:asciiTheme="majorBidi" w:hAnsiTheme="majorBidi" w:cstheme="majorBidi"/>
                <w:b/>
                <w:bCs/>
                <w:color w:val="000000"/>
                <w:sz w:val="16"/>
                <w:szCs w:val="16"/>
              </w:rPr>
              <w:t>Model2</w:t>
            </w:r>
          </w:p>
        </w:tc>
      </w:tr>
      <w:tr w:rsidR="00E268D5" w:rsidRPr="00FD736C" w:rsidTr="00E268D5">
        <w:tc>
          <w:tcPr>
            <w:tcW w:w="2410" w:type="dxa"/>
          </w:tcPr>
          <w:p w:rsidR="00E268D5" w:rsidRPr="00FD736C" w:rsidRDefault="00E268D5" w:rsidP="00750ED4">
            <w:pPr>
              <w:jc w:val="both"/>
              <w:rPr>
                <w:rFonts w:asciiTheme="majorBidi" w:hAnsiTheme="majorBidi" w:cstheme="majorBidi"/>
                <w:color w:val="000000"/>
                <w:sz w:val="16"/>
                <w:szCs w:val="16"/>
                <w:lang w:val="en-US"/>
              </w:rPr>
            </w:pPr>
            <w:r w:rsidRPr="00FD736C">
              <w:rPr>
                <w:rFonts w:asciiTheme="majorBidi" w:hAnsiTheme="majorBidi" w:cstheme="majorBidi"/>
                <w:color w:val="000000"/>
                <w:sz w:val="16"/>
                <w:szCs w:val="16"/>
                <w:lang w:val="en-US"/>
              </w:rPr>
              <w:t>Intercept</w:t>
            </w:r>
          </w:p>
          <w:p w:rsidR="00E268D5" w:rsidRPr="00FD736C" w:rsidRDefault="00E268D5" w:rsidP="00750ED4">
            <w:pPr>
              <w:jc w:val="both"/>
              <w:rPr>
                <w:rFonts w:asciiTheme="majorBidi" w:hAnsiTheme="majorBidi" w:cstheme="majorBidi"/>
                <w:color w:val="000000"/>
                <w:sz w:val="16"/>
                <w:szCs w:val="16"/>
                <w:lang w:val="en-US"/>
              </w:rPr>
            </w:pPr>
          </w:p>
          <w:p w:rsidR="00E268D5" w:rsidRPr="00FD736C" w:rsidRDefault="00E268D5" w:rsidP="00750ED4">
            <w:pPr>
              <w:jc w:val="both"/>
              <w:rPr>
                <w:rFonts w:asciiTheme="majorBidi" w:hAnsiTheme="majorBidi" w:cstheme="majorBidi"/>
                <w:color w:val="000000"/>
                <w:sz w:val="16"/>
                <w:szCs w:val="16"/>
                <w:lang w:val="en-US"/>
              </w:rPr>
            </w:pPr>
            <w:r w:rsidRPr="00FD736C">
              <w:rPr>
                <w:rFonts w:asciiTheme="majorBidi" w:hAnsiTheme="majorBidi" w:cstheme="majorBidi"/>
                <w:color w:val="000000"/>
                <w:sz w:val="16"/>
                <w:szCs w:val="16"/>
                <w:lang w:val="en-US"/>
              </w:rPr>
              <w:t>ROAt-1</w:t>
            </w:r>
          </w:p>
          <w:p w:rsidR="00E268D5" w:rsidRPr="00FD736C" w:rsidRDefault="00E268D5" w:rsidP="00750ED4">
            <w:pPr>
              <w:jc w:val="both"/>
              <w:rPr>
                <w:rFonts w:asciiTheme="majorBidi" w:hAnsiTheme="majorBidi" w:cstheme="majorBidi"/>
                <w:color w:val="000000"/>
                <w:sz w:val="16"/>
                <w:szCs w:val="16"/>
                <w:lang w:val="en-US"/>
              </w:rPr>
            </w:pPr>
          </w:p>
          <w:p w:rsidR="00E268D5" w:rsidRPr="00FD736C" w:rsidRDefault="00E268D5" w:rsidP="00750ED4">
            <w:pPr>
              <w:jc w:val="both"/>
              <w:rPr>
                <w:rFonts w:asciiTheme="majorBidi" w:hAnsiTheme="majorBidi" w:cstheme="majorBidi"/>
                <w:color w:val="000000"/>
                <w:sz w:val="16"/>
                <w:szCs w:val="16"/>
                <w:lang w:val="en-US"/>
              </w:rPr>
            </w:pPr>
            <w:r w:rsidRPr="00FD736C">
              <w:rPr>
                <w:rFonts w:asciiTheme="majorBidi" w:hAnsiTheme="majorBidi" w:cstheme="majorBidi"/>
                <w:color w:val="000000"/>
                <w:sz w:val="16"/>
                <w:szCs w:val="16"/>
                <w:lang w:val="en-US"/>
              </w:rPr>
              <w:t>ROEt-1</w:t>
            </w:r>
          </w:p>
          <w:p w:rsidR="00E268D5" w:rsidRPr="00FD736C" w:rsidRDefault="00E268D5" w:rsidP="00750ED4">
            <w:pPr>
              <w:jc w:val="both"/>
              <w:rPr>
                <w:rFonts w:asciiTheme="majorBidi" w:hAnsiTheme="majorBidi" w:cstheme="majorBidi"/>
                <w:color w:val="000000"/>
                <w:sz w:val="16"/>
                <w:szCs w:val="16"/>
                <w:lang w:val="en-US"/>
              </w:rPr>
            </w:pPr>
          </w:p>
          <w:p w:rsidR="00E268D5" w:rsidRPr="00FD736C" w:rsidRDefault="00E268D5" w:rsidP="00750ED4">
            <w:pPr>
              <w:jc w:val="both"/>
              <w:rPr>
                <w:rFonts w:asciiTheme="majorBidi" w:hAnsiTheme="majorBidi" w:cstheme="majorBidi"/>
                <w:color w:val="000000"/>
                <w:sz w:val="16"/>
                <w:szCs w:val="16"/>
                <w:lang w:val="en-US"/>
              </w:rPr>
            </w:pPr>
            <w:r w:rsidRPr="00FD736C">
              <w:rPr>
                <w:rFonts w:asciiTheme="majorBidi" w:hAnsiTheme="majorBidi" w:cstheme="majorBidi"/>
                <w:color w:val="000000"/>
                <w:sz w:val="16"/>
                <w:szCs w:val="16"/>
                <w:lang w:val="en-US"/>
              </w:rPr>
              <w:t>Qt-1</w:t>
            </w:r>
          </w:p>
          <w:p w:rsidR="00E268D5" w:rsidRPr="00FD736C" w:rsidRDefault="00E268D5" w:rsidP="00750ED4">
            <w:pPr>
              <w:jc w:val="both"/>
              <w:rPr>
                <w:rFonts w:asciiTheme="majorBidi" w:hAnsiTheme="majorBidi" w:cstheme="majorBidi"/>
                <w:color w:val="000000"/>
                <w:sz w:val="16"/>
                <w:szCs w:val="16"/>
                <w:lang w:val="en-US"/>
              </w:rPr>
            </w:pPr>
          </w:p>
          <w:p w:rsidR="00E268D5" w:rsidRPr="00FD736C" w:rsidRDefault="00E268D5" w:rsidP="00750ED4">
            <w:pPr>
              <w:jc w:val="both"/>
              <w:rPr>
                <w:rFonts w:asciiTheme="majorBidi" w:hAnsiTheme="majorBidi" w:cstheme="majorBidi"/>
                <w:color w:val="000000"/>
                <w:sz w:val="16"/>
                <w:szCs w:val="16"/>
                <w:lang w:val="en-US"/>
              </w:rPr>
            </w:pPr>
            <w:r w:rsidRPr="00FD736C">
              <w:rPr>
                <w:rFonts w:asciiTheme="majorBidi" w:hAnsiTheme="majorBidi" w:cstheme="majorBidi"/>
                <w:color w:val="000000"/>
                <w:sz w:val="16"/>
                <w:szCs w:val="16"/>
                <w:lang w:val="en-US"/>
              </w:rPr>
              <w:t>Corporate Governance index (CGDI)</w:t>
            </w:r>
          </w:p>
          <w:p w:rsidR="00E268D5" w:rsidRPr="00FD736C" w:rsidRDefault="00E268D5" w:rsidP="00750ED4">
            <w:pPr>
              <w:jc w:val="both"/>
              <w:rPr>
                <w:rFonts w:asciiTheme="majorBidi" w:hAnsiTheme="majorBidi" w:cstheme="majorBidi"/>
                <w:color w:val="000000"/>
                <w:sz w:val="16"/>
                <w:szCs w:val="16"/>
                <w:lang w:val="en-US"/>
              </w:rPr>
            </w:pPr>
          </w:p>
          <w:p w:rsidR="00E268D5" w:rsidRPr="00FD736C" w:rsidRDefault="00E268D5" w:rsidP="00750ED4">
            <w:pPr>
              <w:jc w:val="both"/>
              <w:rPr>
                <w:rFonts w:asciiTheme="majorBidi" w:hAnsiTheme="majorBidi" w:cstheme="majorBidi"/>
                <w:color w:val="000000"/>
                <w:sz w:val="16"/>
                <w:szCs w:val="16"/>
                <w:lang w:val="en-US"/>
              </w:rPr>
            </w:pPr>
            <w:r w:rsidRPr="00FD736C">
              <w:rPr>
                <w:rFonts w:asciiTheme="majorBidi" w:hAnsiTheme="majorBidi" w:cstheme="majorBidi"/>
                <w:color w:val="000000"/>
                <w:sz w:val="16"/>
                <w:szCs w:val="16"/>
                <w:lang w:val="en-US"/>
              </w:rPr>
              <w:t>Board of structure index</w:t>
            </w:r>
          </w:p>
          <w:p w:rsidR="00E268D5" w:rsidRPr="00FD736C" w:rsidRDefault="00E268D5" w:rsidP="00750ED4">
            <w:pPr>
              <w:jc w:val="both"/>
              <w:rPr>
                <w:rFonts w:asciiTheme="majorBidi" w:hAnsiTheme="majorBidi" w:cstheme="majorBidi"/>
                <w:color w:val="000000"/>
                <w:sz w:val="16"/>
                <w:szCs w:val="16"/>
                <w:lang w:val="en-US"/>
              </w:rPr>
            </w:pPr>
          </w:p>
          <w:p w:rsidR="00E268D5" w:rsidRPr="00FD736C" w:rsidRDefault="00E268D5" w:rsidP="00750ED4">
            <w:pPr>
              <w:jc w:val="both"/>
              <w:rPr>
                <w:rFonts w:asciiTheme="majorBidi" w:hAnsiTheme="majorBidi" w:cstheme="majorBidi"/>
                <w:color w:val="000000"/>
                <w:sz w:val="16"/>
                <w:szCs w:val="16"/>
                <w:lang w:val="en-US"/>
              </w:rPr>
            </w:pPr>
            <w:r w:rsidRPr="00FD736C">
              <w:rPr>
                <w:rFonts w:asciiTheme="majorBidi" w:hAnsiTheme="majorBidi" w:cstheme="majorBidi"/>
                <w:color w:val="000000"/>
                <w:sz w:val="16"/>
                <w:szCs w:val="16"/>
                <w:lang w:val="en-US"/>
              </w:rPr>
              <w:t>Risk management Index</w:t>
            </w:r>
          </w:p>
          <w:p w:rsidR="00E268D5" w:rsidRPr="00FD736C" w:rsidRDefault="00E268D5" w:rsidP="00750ED4">
            <w:pPr>
              <w:jc w:val="both"/>
              <w:rPr>
                <w:rFonts w:asciiTheme="majorBidi" w:hAnsiTheme="majorBidi" w:cstheme="majorBidi"/>
                <w:color w:val="000000"/>
                <w:sz w:val="16"/>
                <w:szCs w:val="16"/>
                <w:lang w:val="en-US"/>
              </w:rPr>
            </w:pPr>
          </w:p>
          <w:p w:rsidR="00E268D5" w:rsidRPr="00FD736C" w:rsidRDefault="00E268D5" w:rsidP="00750ED4">
            <w:pPr>
              <w:jc w:val="both"/>
              <w:rPr>
                <w:rFonts w:asciiTheme="majorBidi" w:hAnsiTheme="majorBidi" w:cstheme="majorBidi"/>
                <w:color w:val="000000"/>
                <w:sz w:val="16"/>
                <w:szCs w:val="16"/>
                <w:lang w:val="en-US"/>
              </w:rPr>
            </w:pPr>
            <w:r w:rsidRPr="00FD736C">
              <w:rPr>
                <w:rFonts w:asciiTheme="majorBidi" w:hAnsiTheme="majorBidi" w:cstheme="majorBidi"/>
                <w:color w:val="000000"/>
                <w:sz w:val="16"/>
                <w:szCs w:val="16"/>
                <w:lang w:val="en-US"/>
              </w:rPr>
              <w:t>Transparency and disclosure index</w:t>
            </w:r>
          </w:p>
          <w:p w:rsidR="00E268D5" w:rsidRPr="00FD736C" w:rsidRDefault="00E268D5" w:rsidP="00750ED4">
            <w:pPr>
              <w:jc w:val="both"/>
              <w:rPr>
                <w:rFonts w:asciiTheme="majorBidi" w:hAnsiTheme="majorBidi" w:cstheme="majorBidi"/>
                <w:color w:val="000000"/>
                <w:sz w:val="16"/>
                <w:szCs w:val="16"/>
                <w:lang w:val="en-US"/>
              </w:rPr>
            </w:pPr>
          </w:p>
          <w:p w:rsidR="00E268D5" w:rsidRPr="00FD736C" w:rsidRDefault="00E268D5" w:rsidP="00750ED4">
            <w:pPr>
              <w:jc w:val="both"/>
              <w:rPr>
                <w:rFonts w:asciiTheme="majorBidi" w:hAnsiTheme="majorBidi" w:cstheme="majorBidi"/>
                <w:color w:val="000000"/>
                <w:sz w:val="16"/>
                <w:szCs w:val="16"/>
                <w:lang w:val="en-US"/>
              </w:rPr>
            </w:pPr>
            <w:r w:rsidRPr="00FD736C">
              <w:rPr>
                <w:rFonts w:asciiTheme="majorBidi" w:hAnsiTheme="majorBidi" w:cstheme="majorBidi"/>
                <w:color w:val="000000"/>
                <w:sz w:val="16"/>
                <w:szCs w:val="16"/>
                <w:lang w:val="en-US"/>
              </w:rPr>
              <w:t>Audit committee Index</w:t>
            </w:r>
          </w:p>
          <w:p w:rsidR="00E268D5" w:rsidRPr="00FD736C" w:rsidRDefault="00E268D5" w:rsidP="00750ED4">
            <w:pPr>
              <w:jc w:val="both"/>
              <w:rPr>
                <w:rFonts w:asciiTheme="majorBidi" w:hAnsiTheme="majorBidi" w:cstheme="majorBidi"/>
                <w:color w:val="000000"/>
                <w:sz w:val="16"/>
                <w:szCs w:val="16"/>
                <w:lang w:val="en-US"/>
              </w:rPr>
            </w:pPr>
          </w:p>
          <w:p w:rsidR="00E268D5" w:rsidRPr="00FD736C" w:rsidRDefault="00E268D5" w:rsidP="00750ED4">
            <w:pPr>
              <w:jc w:val="both"/>
              <w:rPr>
                <w:rFonts w:asciiTheme="majorBidi" w:hAnsiTheme="majorBidi" w:cstheme="majorBidi"/>
                <w:color w:val="000000"/>
                <w:sz w:val="16"/>
                <w:szCs w:val="16"/>
                <w:lang w:val="en-US"/>
              </w:rPr>
            </w:pPr>
            <w:r w:rsidRPr="00FD736C">
              <w:rPr>
                <w:rFonts w:asciiTheme="majorBidi" w:hAnsiTheme="majorBidi" w:cstheme="majorBidi"/>
                <w:color w:val="000000"/>
                <w:sz w:val="16"/>
                <w:szCs w:val="16"/>
                <w:lang w:val="en-US"/>
              </w:rPr>
              <w:t>Sharia supervisory board index</w:t>
            </w:r>
          </w:p>
          <w:p w:rsidR="00E268D5" w:rsidRPr="00FD736C" w:rsidRDefault="00E268D5" w:rsidP="00750ED4">
            <w:pPr>
              <w:jc w:val="both"/>
              <w:rPr>
                <w:rFonts w:asciiTheme="majorBidi" w:hAnsiTheme="majorBidi" w:cstheme="majorBidi"/>
                <w:color w:val="000000"/>
                <w:sz w:val="16"/>
                <w:szCs w:val="16"/>
                <w:lang w:val="en-US"/>
              </w:rPr>
            </w:pPr>
          </w:p>
          <w:p w:rsidR="00E268D5" w:rsidRPr="00FD736C" w:rsidRDefault="00E268D5" w:rsidP="00750ED4">
            <w:pPr>
              <w:jc w:val="both"/>
              <w:rPr>
                <w:rFonts w:asciiTheme="majorBidi" w:hAnsiTheme="majorBidi" w:cstheme="majorBidi"/>
                <w:color w:val="000000"/>
                <w:sz w:val="16"/>
                <w:szCs w:val="16"/>
                <w:lang w:val="en-US"/>
              </w:rPr>
            </w:pPr>
            <w:r w:rsidRPr="00FD736C">
              <w:rPr>
                <w:rFonts w:asciiTheme="majorBidi" w:hAnsiTheme="majorBidi" w:cstheme="majorBidi"/>
                <w:color w:val="000000"/>
                <w:sz w:val="16"/>
                <w:szCs w:val="16"/>
                <w:lang w:val="en-US"/>
              </w:rPr>
              <w:t>Investment account holders index</w:t>
            </w:r>
          </w:p>
          <w:p w:rsidR="00E268D5" w:rsidRPr="00FD736C" w:rsidRDefault="00E268D5" w:rsidP="00750ED4">
            <w:pPr>
              <w:jc w:val="both"/>
              <w:rPr>
                <w:rFonts w:asciiTheme="majorBidi" w:hAnsiTheme="majorBidi" w:cstheme="majorBidi"/>
                <w:color w:val="000000"/>
                <w:sz w:val="16"/>
                <w:szCs w:val="16"/>
                <w:lang w:val="en-US"/>
              </w:rPr>
            </w:pPr>
          </w:p>
          <w:p w:rsidR="00E268D5" w:rsidRPr="00FD736C" w:rsidRDefault="00E268D5" w:rsidP="00750ED4">
            <w:pPr>
              <w:jc w:val="both"/>
              <w:rPr>
                <w:rFonts w:asciiTheme="majorBidi" w:hAnsiTheme="majorBidi" w:cstheme="majorBidi"/>
                <w:color w:val="000000"/>
                <w:sz w:val="16"/>
                <w:szCs w:val="16"/>
                <w:u w:val="single"/>
                <w:lang w:val="en-US"/>
              </w:rPr>
            </w:pPr>
            <w:r w:rsidRPr="00FD736C">
              <w:rPr>
                <w:rFonts w:asciiTheme="majorBidi" w:hAnsiTheme="majorBidi" w:cstheme="majorBidi"/>
                <w:color w:val="000000"/>
                <w:sz w:val="16"/>
                <w:szCs w:val="16"/>
                <w:u w:val="single"/>
                <w:lang w:val="en-US"/>
              </w:rPr>
              <w:t>Bank characteristics</w:t>
            </w:r>
          </w:p>
          <w:p w:rsidR="00E268D5" w:rsidRPr="00FD736C" w:rsidRDefault="00E268D5" w:rsidP="00750ED4">
            <w:pPr>
              <w:jc w:val="both"/>
              <w:rPr>
                <w:rFonts w:asciiTheme="majorBidi" w:hAnsiTheme="majorBidi" w:cstheme="majorBidi"/>
                <w:color w:val="000000"/>
                <w:sz w:val="16"/>
                <w:szCs w:val="16"/>
                <w:lang w:val="en-US"/>
              </w:rPr>
            </w:pPr>
            <w:r w:rsidRPr="00FD736C">
              <w:rPr>
                <w:rFonts w:asciiTheme="majorBidi" w:hAnsiTheme="majorBidi" w:cstheme="majorBidi"/>
                <w:color w:val="000000"/>
                <w:sz w:val="16"/>
                <w:szCs w:val="16"/>
                <w:lang w:val="en-US"/>
              </w:rPr>
              <w:t>Bank Size</w:t>
            </w:r>
          </w:p>
          <w:p w:rsidR="00E268D5" w:rsidRPr="00FD736C" w:rsidRDefault="00E268D5" w:rsidP="00750ED4">
            <w:pPr>
              <w:jc w:val="both"/>
              <w:rPr>
                <w:rFonts w:asciiTheme="majorBidi" w:hAnsiTheme="majorBidi" w:cstheme="majorBidi"/>
                <w:color w:val="000000"/>
                <w:sz w:val="16"/>
                <w:szCs w:val="16"/>
                <w:lang w:val="en-US"/>
              </w:rPr>
            </w:pPr>
          </w:p>
          <w:p w:rsidR="00E268D5" w:rsidRPr="00FD736C" w:rsidRDefault="00E268D5" w:rsidP="00750ED4">
            <w:pPr>
              <w:jc w:val="both"/>
              <w:rPr>
                <w:rFonts w:asciiTheme="majorBidi" w:hAnsiTheme="majorBidi" w:cstheme="majorBidi"/>
                <w:color w:val="000000"/>
                <w:sz w:val="16"/>
                <w:szCs w:val="16"/>
                <w:lang w:val="en-US"/>
              </w:rPr>
            </w:pPr>
            <w:r w:rsidRPr="00FD736C">
              <w:rPr>
                <w:rFonts w:asciiTheme="majorBidi" w:hAnsiTheme="majorBidi" w:cstheme="majorBidi"/>
                <w:color w:val="000000"/>
                <w:sz w:val="16"/>
                <w:szCs w:val="16"/>
                <w:lang w:val="en-US"/>
              </w:rPr>
              <w:t>Equity</w:t>
            </w:r>
          </w:p>
          <w:p w:rsidR="00E268D5" w:rsidRPr="00FD736C" w:rsidRDefault="00E268D5" w:rsidP="00750ED4">
            <w:pPr>
              <w:jc w:val="both"/>
              <w:rPr>
                <w:rFonts w:asciiTheme="majorBidi" w:hAnsiTheme="majorBidi" w:cstheme="majorBidi"/>
                <w:color w:val="000000"/>
                <w:sz w:val="16"/>
                <w:szCs w:val="16"/>
                <w:lang w:val="en-US"/>
              </w:rPr>
            </w:pPr>
          </w:p>
          <w:p w:rsidR="00E268D5" w:rsidRPr="00FD736C" w:rsidRDefault="00E268D5" w:rsidP="00750ED4">
            <w:pPr>
              <w:jc w:val="both"/>
              <w:rPr>
                <w:rFonts w:asciiTheme="majorBidi" w:hAnsiTheme="majorBidi" w:cstheme="majorBidi"/>
                <w:color w:val="000000"/>
                <w:sz w:val="16"/>
                <w:szCs w:val="16"/>
                <w:lang w:val="en-US"/>
              </w:rPr>
            </w:pPr>
            <w:r w:rsidRPr="00FD736C">
              <w:rPr>
                <w:rFonts w:asciiTheme="majorBidi" w:hAnsiTheme="majorBidi" w:cstheme="majorBidi"/>
                <w:color w:val="000000"/>
                <w:sz w:val="16"/>
                <w:szCs w:val="16"/>
                <w:lang w:val="en-US"/>
              </w:rPr>
              <w:t>Risk</w:t>
            </w:r>
          </w:p>
          <w:p w:rsidR="00E268D5" w:rsidRPr="00FD736C" w:rsidRDefault="00E268D5" w:rsidP="00750ED4">
            <w:pPr>
              <w:jc w:val="both"/>
              <w:rPr>
                <w:rFonts w:asciiTheme="majorBidi" w:hAnsiTheme="majorBidi" w:cstheme="majorBidi"/>
                <w:color w:val="000000"/>
                <w:sz w:val="16"/>
                <w:szCs w:val="16"/>
                <w:lang w:val="en-US"/>
              </w:rPr>
            </w:pPr>
          </w:p>
          <w:p w:rsidR="00E268D5" w:rsidRPr="00FD736C" w:rsidRDefault="00E268D5" w:rsidP="00750ED4">
            <w:pPr>
              <w:rPr>
                <w:rFonts w:asciiTheme="majorBidi" w:hAnsiTheme="majorBidi" w:cstheme="majorBidi"/>
                <w:color w:val="000000"/>
                <w:sz w:val="16"/>
                <w:szCs w:val="16"/>
                <w:u w:val="single"/>
                <w:lang w:val="en-US"/>
              </w:rPr>
            </w:pPr>
            <w:r w:rsidRPr="00FD736C">
              <w:rPr>
                <w:rFonts w:asciiTheme="majorBidi" w:hAnsiTheme="majorBidi" w:cstheme="majorBidi"/>
                <w:color w:val="000000"/>
                <w:sz w:val="16"/>
                <w:szCs w:val="16"/>
                <w:u w:val="single"/>
                <w:lang w:val="en-US"/>
              </w:rPr>
              <w:lastRenderedPageBreak/>
              <w:t>Financial industry and Macroeconomics. measures</w:t>
            </w:r>
          </w:p>
          <w:p w:rsidR="00E268D5" w:rsidRPr="00FD736C" w:rsidRDefault="00E268D5" w:rsidP="00750ED4">
            <w:pPr>
              <w:jc w:val="both"/>
              <w:rPr>
                <w:rFonts w:asciiTheme="majorBidi" w:hAnsiTheme="majorBidi" w:cstheme="majorBidi"/>
                <w:color w:val="000000"/>
                <w:sz w:val="16"/>
                <w:szCs w:val="16"/>
                <w:lang w:val="en-US"/>
              </w:rPr>
            </w:pPr>
            <w:r w:rsidRPr="00FD736C">
              <w:rPr>
                <w:rFonts w:asciiTheme="majorBidi" w:hAnsiTheme="majorBidi" w:cstheme="majorBidi"/>
                <w:color w:val="000000"/>
                <w:sz w:val="16"/>
                <w:szCs w:val="16"/>
                <w:lang w:val="en-US"/>
              </w:rPr>
              <w:t xml:space="preserve">Banking sector development </w:t>
            </w:r>
          </w:p>
          <w:p w:rsidR="00E268D5" w:rsidRPr="00FD736C" w:rsidRDefault="00E268D5" w:rsidP="00750ED4">
            <w:pPr>
              <w:jc w:val="both"/>
              <w:rPr>
                <w:rFonts w:asciiTheme="majorBidi" w:hAnsiTheme="majorBidi" w:cstheme="majorBidi"/>
                <w:color w:val="000000"/>
                <w:sz w:val="16"/>
                <w:szCs w:val="16"/>
                <w:lang w:val="en-US"/>
              </w:rPr>
            </w:pPr>
          </w:p>
          <w:p w:rsidR="00E268D5" w:rsidRPr="00FD736C" w:rsidRDefault="00E268D5" w:rsidP="00750ED4">
            <w:pPr>
              <w:jc w:val="both"/>
              <w:rPr>
                <w:rFonts w:asciiTheme="majorBidi" w:hAnsiTheme="majorBidi" w:cstheme="majorBidi"/>
                <w:color w:val="000000"/>
                <w:sz w:val="16"/>
                <w:szCs w:val="16"/>
                <w:lang w:val="en-US"/>
              </w:rPr>
            </w:pPr>
            <w:r w:rsidRPr="00FD736C">
              <w:rPr>
                <w:rFonts w:asciiTheme="majorBidi" w:hAnsiTheme="majorBidi" w:cstheme="majorBidi"/>
                <w:color w:val="000000"/>
                <w:sz w:val="16"/>
                <w:szCs w:val="16"/>
                <w:lang w:val="en-US"/>
              </w:rPr>
              <w:t>Banking Concentration</w:t>
            </w:r>
          </w:p>
          <w:p w:rsidR="00E268D5" w:rsidRPr="00FD736C" w:rsidRDefault="00E268D5" w:rsidP="00750ED4">
            <w:pPr>
              <w:jc w:val="both"/>
              <w:rPr>
                <w:rFonts w:asciiTheme="majorBidi" w:hAnsiTheme="majorBidi" w:cstheme="majorBidi"/>
                <w:color w:val="000000"/>
                <w:sz w:val="16"/>
                <w:szCs w:val="16"/>
                <w:lang w:val="en-US"/>
              </w:rPr>
            </w:pPr>
          </w:p>
          <w:p w:rsidR="00E268D5" w:rsidRPr="00FD736C" w:rsidRDefault="00E268D5" w:rsidP="00750ED4">
            <w:pPr>
              <w:jc w:val="both"/>
              <w:rPr>
                <w:rFonts w:asciiTheme="majorBidi" w:hAnsiTheme="majorBidi" w:cstheme="majorBidi"/>
                <w:color w:val="000000"/>
                <w:sz w:val="16"/>
                <w:szCs w:val="16"/>
                <w:lang w:val="en-US"/>
              </w:rPr>
            </w:pPr>
            <w:r w:rsidRPr="00FD736C">
              <w:rPr>
                <w:rFonts w:asciiTheme="majorBidi" w:hAnsiTheme="majorBidi" w:cstheme="majorBidi"/>
                <w:color w:val="000000"/>
                <w:sz w:val="16"/>
                <w:szCs w:val="16"/>
                <w:lang w:val="en-US"/>
              </w:rPr>
              <w:t>GDP growth</w:t>
            </w:r>
          </w:p>
          <w:p w:rsidR="00E268D5" w:rsidRPr="00FD736C" w:rsidRDefault="00E268D5" w:rsidP="00750ED4">
            <w:pPr>
              <w:jc w:val="both"/>
              <w:rPr>
                <w:rFonts w:asciiTheme="majorBidi" w:hAnsiTheme="majorBidi" w:cstheme="majorBidi"/>
                <w:color w:val="000000"/>
                <w:sz w:val="16"/>
                <w:szCs w:val="16"/>
                <w:lang w:val="en-US"/>
              </w:rPr>
            </w:pPr>
          </w:p>
          <w:p w:rsidR="00E268D5" w:rsidRPr="00FD736C" w:rsidRDefault="00E268D5" w:rsidP="00750ED4">
            <w:pPr>
              <w:jc w:val="both"/>
              <w:rPr>
                <w:rFonts w:asciiTheme="majorBidi" w:hAnsiTheme="majorBidi" w:cstheme="majorBidi"/>
                <w:color w:val="000000"/>
                <w:sz w:val="16"/>
                <w:szCs w:val="16"/>
                <w:lang w:val="en-US"/>
              </w:rPr>
            </w:pPr>
            <w:r w:rsidRPr="00FD736C">
              <w:rPr>
                <w:rFonts w:asciiTheme="majorBidi" w:hAnsiTheme="majorBidi" w:cstheme="majorBidi"/>
                <w:color w:val="000000"/>
                <w:sz w:val="16"/>
                <w:szCs w:val="16"/>
                <w:lang w:val="en-US"/>
              </w:rPr>
              <w:t>Inflation</w:t>
            </w:r>
          </w:p>
          <w:p w:rsidR="00E268D5" w:rsidRPr="00FD736C" w:rsidRDefault="00E268D5" w:rsidP="00750ED4">
            <w:pPr>
              <w:jc w:val="both"/>
              <w:rPr>
                <w:rFonts w:asciiTheme="majorBidi" w:hAnsiTheme="majorBidi" w:cstheme="majorBidi"/>
                <w:color w:val="000000"/>
                <w:sz w:val="16"/>
                <w:szCs w:val="16"/>
                <w:lang w:val="en-US"/>
              </w:rPr>
            </w:pPr>
          </w:p>
          <w:p w:rsidR="00E268D5" w:rsidRPr="00FD736C" w:rsidRDefault="00E268D5" w:rsidP="00750ED4">
            <w:pPr>
              <w:jc w:val="both"/>
              <w:rPr>
                <w:rFonts w:asciiTheme="majorBidi" w:hAnsiTheme="majorBidi" w:cstheme="majorBidi"/>
                <w:color w:val="000000"/>
                <w:sz w:val="16"/>
                <w:szCs w:val="16"/>
                <w:lang w:val="en-US"/>
              </w:rPr>
            </w:pPr>
            <w:r w:rsidRPr="00FD736C">
              <w:rPr>
                <w:rFonts w:asciiTheme="majorBidi" w:hAnsiTheme="majorBidi" w:cstheme="majorBidi"/>
                <w:color w:val="000000"/>
                <w:sz w:val="16"/>
                <w:szCs w:val="16"/>
                <w:lang w:val="en-US"/>
              </w:rPr>
              <w:t xml:space="preserve">Wald </w:t>
            </w:r>
            <w:r w:rsidRPr="00FD736C">
              <w:rPr>
                <w:rFonts w:asciiTheme="majorBidi" w:hAnsiTheme="majorBidi" w:cstheme="majorBidi"/>
                <w:color w:val="000000"/>
                <w:sz w:val="16"/>
                <w:szCs w:val="16"/>
              </w:rPr>
              <w:t>χ</w:t>
            </w:r>
            <w:r w:rsidRPr="00FD736C">
              <w:rPr>
                <w:rFonts w:asciiTheme="majorBidi" w:hAnsiTheme="majorBidi" w:cstheme="majorBidi"/>
                <w:color w:val="000000"/>
                <w:sz w:val="16"/>
                <w:szCs w:val="16"/>
                <w:lang w:val="en-US"/>
              </w:rPr>
              <w:t>2</w:t>
            </w:r>
          </w:p>
          <w:p w:rsidR="00E268D5" w:rsidRPr="00FD736C" w:rsidRDefault="00E268D5" w:rsidP="00750ED4">
            <w:pPr>
              <w:jc w:val="both"/>
              <w:rPr>
                <w:rFonts w:asciiTheme="majorBidi" w:hAnsiTheme="majorBidi" w:cstheme="majorBidi"/>
                <w:color w:val="000000"/>
                <w:sz w:val="16"/>
                <w:szCs w:val="16"/>
                <w:lang w:val="en-US"/>
              </w:rPr>
            </w:pPr>
            <w:r w:rsidRPr="00FD736C">
              <w:rPr>
                <w:rFonts w:asciiTheme="majorBidi" w:hAnsiTheme="majorBidi" w:cstheme="majorBidi"/>
                <w:color w:val="000000"/>
                <w:sz w:val="16"/>
                <w:szCs w:val="16"/>
                <w:lang w:val="en-US"/>
              </w:rPr>
              <w:t>AR(1) p-value</w:t>
            </w:r>
          </w:p>
          <w:p w:rsidR="00E268D5" w:rsidRPr="00FD736C" w:rsidRDefault="00E268D5" w:rsidP="00750ED4">
            <w:pPr>
              <w:jc w:val="both"/>
              <w:rPr>
                <w:rFonts w:asciiTheme="majorBidi" w:hAnsiTheme="majorBidi" w:cstheme="majorBidi"/>
                <w:color w:val="000000"/>
                <w:sz w:val="16"/>
                <w:szCs w:val="16"/>
                <w:lang w:val="en-US"/>
              </w:rPr>
            </w:pPr>
            <w:r w:rsidRPr="00FD736C">
              <w:rPr>
                <w:rFonts w:asciiTheme="majorBidi" w:hAnsiTheme="majorBidi" w:cstheme="majorBidi"/>
                <w:color w:val="000000"/>
                <w:sz w:val="16"/>
                <w:szCs w:val="16"/>
                <w:lang w:val="en-US"/>
              </w:rPr>
              <w:t>AR(2) p-value</w:t>
            </w:r>
          </w:p>
          <w:p w:rsidR="00E268D5" w:rsidRPr="00FD736C" w:rsidRDefault="00E268D5" w:rsidP="00750ED4">
            <w:pPr>
              <w:jc w:val="both"/>
              <w:rPr>
                <w:rFonts w:asciiTheme="majorBidi" w:hAnsiTheme="majorBidi" w:cstheme="majorBidi"/>
                <w:color w:val="000000"/>
                <w:sz w:val="16"/>
                <w:szCs w:val="16"/>
                <w:lang w:val="en-US"/>
              </w:rPr>
            </w:pPr>
            <w:proofErr w:type="spellStart"/>
            <w:r w:rsidRPr="00FD736C">
              <w:rPr>
                <w:rFonts w:asciiTheme="majorBidi" w:hAnsiTheme="majorBidi" w:cstheme="majorBidi"/>
                <w:color w:val="000000"/>
                <w:sz w:val="16"/>
                <w:szCs w:val="16"/>
                <w:lang w:val="en-US"/>
              </w:rPr>
              <w:t>Sargan</w:t>
            </w:r>
            <w:proofErr w:type="spellEnd"/>
            <w:r w:rsidRPr="00FD736C">
              <w:rPr>
                <w:rFonts w:asciiTheme="majorBidi" w:hAnsiTheme="majorBidi" w:cstheme="majorBidi"/>
                <w:color w:val="000000"/>
                <w:sz w:val="16"/>
                <w:szCs w:val="16"/>
                <w:lang w:val="en-US"/>
              </w:rPr>
              <w:t xml:space="preserve"> p-value</w:t>
            </w:r>
          </w:p>
          <w:p w:rsidR="00E268D5" w:rsidRPr="00FD736C" w:rsidRDefault="00E268D5" w:rsidP="00750ED4">
            <w:pPr>
              <w:jc w:val="both"/>
              <w:rPr>
                <w:rFonts w:asciiTheme="majorBidi" w:hAnsiTheme="majorBidi" w:cstheme="majorBidi"/>
                <w:color w:val="000000"/>
                <w:sz w:val="16"/>
                <w:szCs w:val="16"/>
              </w:rPr>
            </w:pPr>
            <w:r w:rsidRPr="00FD736C">
              <w:rPr>
                <w:rFonts w:asciiTheme="majorBidi" w:hAnsiTheme="majorBidi" w:cstheme="majorBidi"/>
                <w:color w:val="000000"/>
                <w:sz w:val="16"/>
                <w:szCs w:val="16"/>
              </w:rPr>
              <w:t>Observations</w:t>
            </w:r>
          </w:p>
        </w:tc>
        <w:tc>
          <w:tcPr>
            <w:tcW w:w="992" w:type="dxa"/>
          </w:tcPr>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lastRenderedPageBreak/>
              <w:t>4.521</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(3.40)*</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0.053</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(0.75)</w:t>
            </w: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0.129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(2.56)**</w:t>
            </w: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0.026</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(2.46)**</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0.257</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(2.52)**</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0.043</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(0.21)</w:t>
            </w: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lastRenderedPageBreak/>
              <w:t>0.514</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(0.48)</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0.065</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(1.92)***</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0.067</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(1.21)</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0.358</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(0.98)</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32.56*</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0.325</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0.579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0.729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81</w:t>
            </w:r>
          </w:p>
        </w:tc>
        <w:tc>
          <w:tcPr>
            <w:tcW w:w="992" w:type="dxa"/>
          </w:tcPr>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lastRenderedPageBreak/>
              <w:t>2.542</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(2.31)**</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0.264</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(0.49)</w:t>
            </w: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0.523</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(3.12)*</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0.059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(2.33)**</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0.095</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(0.26)</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0.821</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(1.35)</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0.065</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(2.62)**</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0.003</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(0.02)</w:t>
            </w: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0.296</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(0.57)</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0.029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(1.85)***</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0.957</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(2.27)**</w:t>
            </w: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lastRenderedPageBreak/>
              <w:t>0.098</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(0.72)</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0.056</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(1.43)</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0.560</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(0.98)</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0.096</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(0.08)</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45.29*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0.386</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0.453</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0.558</w:t>
            </w:r>
          </w:p>
          <w:p w:rsidR="00E268D5" w:rsidRPr="00FD736C" w:rsidRDefault="00E268D5" w:rsidP="00750ED4">
            <w:pPr>
              <w:jc w:val="both"/>
              <w:rPr>
                <w:rFonts w:asciiTheme="majorBidi" w:hAnsiTheme="majorBidi" w:cstheme="majorBidi"/>
                <w:color w:val="00B0F0"/>
                <w:sz w:val="16"/>
                <w:szCs w:val="16"/>
              </w:rPr>
            </w:pPr>
            <w:r w:rsidRPr="00FD736C">
              <w:rPr>
                <w:rFonts w:asciiTheme="majorBidi" w:hAnsiTheme="majorBidi" w:cstheme="majorBidi"/>
                <w:color w:val="000000" w:themeColor="text1"/>
                <w:sz w:val="16"/>
                <w:szCs w:val="16"/>
              </w:rPr>
              <w:t>81</w:t>
            </w:r>
          </w:p>
        </w:tc>
        <w:tc>
          <w:tcPr>
            <w:tcW w:w="993" w:type="dxa"/>
          </w:tcPr>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lastRenderedPageBreak/>
              <w:t>1.664</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(2.77)**</w:t>
            </w: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0.442</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(1.09)</w:t>
            </w: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0.119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(2.42)**</w:t>
            </w: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0.447</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(0.72)</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0.190</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(1.01)</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0.482</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(2.08)***</w:t>
            </w: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lastRenderedPageBreak/>
              <w:t>0.976</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0.229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(1.09)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0.664</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(0.95)</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0.504</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(0.02)</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31.82*</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0.488</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0.509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0.663</w:t>
            </w:r>
          </w:p>
          <w:p w:rsidR="00E268D5" w:rsidRPr="00FD736C" w:rsidRDefault="00E268D5" w:rsidP="00750ED4">
            <w:pPr>
              <w:jc w:val="both"/>
              <w:rPr>
                <w:rFonts w:asciiTheme="majorBidi" w:hAnsiTheme="majorBidi" w:cstheme="majorBidi"/>
                <w:color w:val="00B0F0"/>
                <w:sz w:val="16"/>
                <w:szCs w:val="16"/>
              </w:rPr>
            </w:pPr>
            <w:r w:rsidRPr="00FD736C">
              <w:rPr>
                <w:rFonts w:asciiTheme="majorBidi" w:hAnsiTheme="majorBidi" w:cstheme="majorBidi"/>
                <w:color w:val="000000" w:themeColor="text1"/>
                <w:sz w:val="16"/>
                <w:szCs w:val="16"/>
              </w:rPr>
              <w:t>81</w:t>
            </w:r>
          </w:p>
        </w:tc>
        <w:tc>
          <w:tcPr>
            <w:tcW w:w="992" w:type="dxa"/>
          </w:tcPr>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lastRenderedPageBreak/>
              <w:t>0.229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(2.94)**</w:t>
            </w: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0.183</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(0.05)</w:t>
            </w: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0.432</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(2.13)**</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0.294</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(2.56)**</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0.196</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(1.05)</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0.965</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(0.40)</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0.229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(0.19)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0.075</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(0.05)</w:t>
            </w: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0.984</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(0.21)</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0.099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(0.86)</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0.053</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(2.43)**</w:t>
            </w: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lastRenderedPageBreak/>
              <w:t>0.440</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(0.23)</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0.442</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(1.97)***</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0.245</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0.138</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(0.27)</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25.90*</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0.445</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0.399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0.582</w:t>
            </w:r>
          </w:p>
          <w:p w:rsidR="00E268D5" w:rsidRPr="00FD736C" w:rsidRDefault="00E268D5" w:rsidP="00750ED4">
            <w:pPr>
              <w:jc w:val="both"/>
              <w:rPr>
                <w:rFonts w:asciiTheme="majorBidi" w:hAnsiTheme="majorBidi" w:cstheme="majorBidi"/>
                <w:color w:val="00B0F0"/>
                <w:sz w:val="16"/>
                <w:szCs w:val="16"/>
              </w:rPr>
            </w:pPr>
            <w:r w:rsidRPr="00FD736C">
              <w:rPr>
                <w:rFonts w:asciiTheme="majorBidi" w:hAnsiTheme="majorBidi" w:cstheme="majorBidi"/>
                <w:color w:val="000000" w:themeColor="text1"/>
                <w:sz w:val="16"/>
                <w:szCs w:val="16"/>
              </w:rPr>
              <w:t>81</w:t>
            </w:r>
          </w:p>
        </w:tc>
        <w:tc>
          <w:tcPr>
            <w:tcW w:w="992" w:type="dxa"/>
          </w:tcPr>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lastRenderedPageBreak/>
              <w:t>0.836</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(1.15)</w:t>
            </w: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0.066</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(0.59)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0.039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(1.88)***</w:t>
            </w: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0.625</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(1.95)***</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0.265</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(2.32)**</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0.055</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(0.06)</w:t>
            </w: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lastRenderedPageBreak/>
              <w:t>0.402</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(0.72)</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0.009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(1.06)</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0.062</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(0.90)</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0.621</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(0.31)</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19.22*</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0.156</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0.369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0.406</w:t>
            </w:r>
          </w:p>
          <w:p w:rsidR="00E268D5" w:rsidRPr="00FD736C" w:rsidRDefault="00E268D5" w:rsidP="00750ED4">
            <w:pPr>
              <w:jc w:val="both"/>
              <w:rPr>
                <w:rFonts w:asciiTheme="majorBidi" w:hAnsiTheme="majorBidi" w:cstheme="majorBidi"/>
                <w:color w:val="00B0F0"/>
                <w:sz w:val="16"/>
                <w:szCs w:val="16"/>
              </w:rPr>
            </w:pPr>
            <w:r w:rsidRPr="00FD736C">
              <w:rPr>
                <w:rFonts w:asciiTheme="majorBidi" w:hAnsiTheme="majorBidi" w:cstheme="majorBidi"/>
                <w:color w:val="000000" w:themeColor="text1"/>
                <w:sz w:val="16"/>
                <w:szCs w:val="16"/>
              </w:rPr>
              <w:t>81</w:t>
            </w:r>
          </w:p>
        </w:tc>
        <w:tc>
          <w:tcPr>
            <w:tcW w:w="992" w:type="dxa"/>
          </w:tcPr>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lastRenderedPageBreak/>
              <w:t>1.95</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(1.96)***</w:t>
            </w: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0.320</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(1.22)</w:t>
            </w: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0.262</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(0.41)</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0.627</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(1.06)</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0.009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(0.33)</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0.065</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(0.33)</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0.112</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(2.42)**</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0.226</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(0.31)</w:t>
            </w: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0.118</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(0.39)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0.066</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(1.83)***</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0.098</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(2.01**</w:t>
            </w: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lastRenderedPageBreak/>
              <w:t>0.7216</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(0.24)</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0.095</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(1.28)</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0.081</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(0.43)</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0.095</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(0.21)</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25.33*</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0.295</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0.439</w:t>
            </w:r>
          </w:p>
          <w:p w:rsidR="00E268D5" w:rsidRPr="00FD736C" w:rsidRDefault="00E268D5" w:rsidP="00750ED4">
            <w:pPr>
              <w:jc w:val="both"/>
              <w:rPr>
                <w:rFonts w:asciiTheme="majorBidi" w:hAnsiTheme="majorBidi" w:cstheme="majorBidi"/>
                <w:color w:val="000000" w:themeColor="text1"/>
                <w:sz w:val="16"/>
                <w:szCs w:val="16"/>
              </w:rPr>
            </w:pPr>
            <w:r w:rsidRPr="00FD736C">
              <w:rPr>
                <w:rFonts w:asciiTheme="majorBidi" w:hAnsiTheme="majorBidi" w:cstheme="majorBidi"/>
                <w:color w:val="000000" w:themeColor="text1"/>
                <w:sz w:val="16"/>
                <w:szCs w:val="16"/>
              </w:rPr>
              <w:t>0.552</w:t>
            </w:r>
          </w:p>
          <w:p w:rsidR="00E268D5" w:rsidRPr="00FD736C" w:rsidRDefault="00E268D5" w:rsidP="00750ED4">
            <w:pPr>
              <w:jc w:val="both"/>
              <w:rPr>
                <w:rFonts w:asciiTheme="majorBidi" w:hAnsiTheme="majorBidi" w:cstheme="majorBidi"/>
                <w:color w:val="00B0F0"/>
                <w:sz w:val="16"/>
                <w:szCs w:val="16"/>
              </w:rPr>
            </w:pPr>
            <w:r w:rsidRPr="00FD736C">
              <w:rPr>
                <w:rFonts w:asciiTheme="majorBidi" w:hAnsiTheme="majorBidi" w:cstheme="majorBidi"/>
                <w:color w:val="000000" w:themeColor="text1"/>
                <w:sz w:val="16"/>
                <w:szCs w:val="16"/>
              </w:rPr>
              <w:t>81</w:t>
            </w:r>
          </w:p>
        </w:tc>
      </w:tr>
    </w:tbl>
    <w:p w:rsidR="00E268D5" w:rsidRPr="00FD736C" w:rsidRDefault="00E268D5" w:rsidP="00E268D5">
      <w:pPr>
        <w:jc w:val="both"/>
        <w:rPr>
          <w:rFonts w:asciiTheme="majorBidi" w:hAnsiTheme="majorBidi" w:cstheme="majorBidi"/>
          <w:color w:val="000000"/>
          <w:sz w:val="16"/>
          <w:szCs w:val="16"/>
          <w:lang w:val="en-US"/>
        </w:rPr>
      </w:pPr>
      <w:r w:rsidRPr="00FD736C">
        <w:rPr>
          <w:rFonts w:asciiTheme="majorBidi" w:hAnsiTheme="majorBidi" w:cstheme="majorBidi"/>
          <w:color w:val="000000"/>
          <w:sz w:val="16"/>
          <w:szCs w:val="16"/>
          <w:lang w:val="en-US"/>
        </w:rPr>
        <w:lastRenderedPageBreak/>
        <w:t xml:space="preserve">Notes: </w:t>
      </w:r>
      <w:proofErr w:type="gramStart"/>
      <w:r w:rsidRPr="00FD736C">
        <w:rPr>
          <w:rFonts w:asciiTheme="majorBidi" w:hAnsiTheme="majorBidi" w:cstheme="majorBidi"/>
          <w:color w:val="000000"/>
          <w:sz w:val="16"/>
          <w:szCs w:val="16"/>
          <w:lang w:val="en-US"/>
        </w:rPr>
        <w:t>AR(</w:t>
      </w:r>
      <w:proofErr w:type="gramEnd"/>
      <w:r w:rsidRPr="00FD736C">
        <w:rPr>
          <w:rFonts w:asciiTheme="majorBidi" w:hAnsiTheme="majorBidi" w:cstheme="majorBidi"/>
          <w:color w:val="000000"/>
          <w:sz w:val="16"/>
          <w:szCs w:val="16"/>
          <w:lang w:val="en-US"/>
        </w:rPr>
        <w:t xml:space="preserve">1) and AR(2) are tests for the first-order and second-order serial correlation. The </w:t>
      </w:r>
      <w:proofErr w:type="spellStart"/>
      <w:r w:rsidRPr="00FD736C">
        <w:rPr>
          <w:rFonts w:asciiTheme="majorBidi" w:hAnsiTheme="majorBidi" w:cstheme="majorBidi"/>
          <w:color w:val="000000"/>
          <w:sz w:val="16"/>
          <w:szCs w:val="16"/>
          <w:lang w:val="en-US"/>
        </w:rPr>
        <w:t>Sargan</w:t>
      </w:r>
      <w:proofErr w:type="spellEnd"/>
      <w:r w:rsidRPr="00FD736C">
        <w:rPr>
          <w:rFonts w:asciiTheme="majorBidi" w:hAnsiTheme="majorBidi" w:cstheme="majorBidi"/>
          <w:color w:val="000000"/>
          <w:sz w:val="16"/>
          <w:szCs w:val="16"/>
          <w:lang w:val="en-US"/>
        </w:rPr>
        <w:t xml:space="preserve">/Hansen is a test of the </w:t>
      </w:r>
      <w:proofErr w:type="spellStart"/>
      <w:r w:rsidRPr="00FD736C">
        <w:rPr>
          <w:rFonts w:asciiTheme="majorBidi" w:hAnsiTheme="majorBidi" w:cstheme="majorBidi"/>
          <w:color w:val="000000"/>
          <w:sz w:val="16"/>
          <w:szCs w:val="16"/>
          <w:lang w:val="en-US"/>
        </w:rPr>
        <w:t>overidentifying</w:t>
      </w:r>
      <w:proofErr w:type="spellEnd"/>
      <w:r w:rsidRPr="00FD736C">
        <w:rPr>
          <w:rFonts w:asciiTheme="majorBidi" w:hAnsiTheme="majorBidi" w:cstheme="majorBidi"/>
          <w:color w:val="000000"/>
          <w:sz w:val="16"/>
          <w:szCs w:val="16"/>
          <w:lang w:val="en-US"/>
        </w:rPr>
        <w:t xml:space="preserve"> restrictions for the GMM estimators. * </w:t>
      </w:r>
      <w:proofErr w:type="gramStart"/>
      <w:r w:rsidRPr="00FD736C">
        <w:rPr>
          <w:rFonts w:asciiTheme="majorBidi" w:hAnsiTheme="majorBidi" w:cstheme="majorBidi"/>
          <w:color w:val="000000"/>
          <w:sz w:val="16"/>
          <w:szCs w:val="16"/>
          <w:lang w:val="en-US"/>
        </w:rPr>
        <w:t>significant</w:t>
      </w:r>
      <w:proofErr w:type="gramEnd"/>
      <w:r w:rsidRPr="00FD736C">
        <w:rPr>
          <w:rFonts w:asciiTheme="majorBidi" w:hAnsiTheme="majorBidi" w:cstheme="majorBidi"/>
          <w:color w:val="000000"/>
          <w:sz w:val="16"/>
          <w:szCs w:val="16"/>
          <w:lang w:val="en-US"/>
        </w:rPr>
        <w:t xml:space="preserve"> at 1%, ** significant at 5%, *** significant at 10%.</w:t>
      </w:r>
    </w:p>
    <w:p w:rsidR="00DA755C" w:rsidRDefault="00DA755C" w:rsidP="00E268D5">
      <w:pPr>
        <w:ind w:right="-28" w:firstLine="244"/>
        <w:jc w:val="both"/>
        <w:rPr>
          <w:rFonts w:asciiTheme="majorBidi" w:hAnsiTheme="majorBidi" w:cstheme="majorBidi"/>
          <w:color w:val="000000"/>
          <w:lang w:val="en-US"/>
        </w:rPr>
      </w:pPr>
    </w:p>
    <w:p w:rsidR="00693AF8" w:rsidRPr="00693AF8" w:rsidRDefault="00693AF8" w:rsidP="00E268D5">
      <w:pPr>
        <w:ind w:right="-28" w:firstLine="244"/>
        <w:jc w:val="both"/>
        <w:rPr>
          <w:rFonts w:asciiTheme="majorBidi" w:hAnsiTheme="majorBidi" w:cstheme="majorBidi"/>
          <w:color w:val="000000"/>
          <w:lang w:val="en-US"/>
        </w:rPr>
      </w:pPr>
      <w:r w:rsidRPr="00693AF8">
        <w:rPr>
          <w:rFonts w:asciiTheme="majorBidi" w:hAnsiTheme="majorBidi" w:cstheme="majorBidi"/>
          <w:color w:val="000000"/>
          <w:lang w:val="en-US"/>
        </w:rPr>
        <w:t>One major concern in corporate governance studies is endogeneity. Corporate governance may be endogenous to performance. To take into account the endogenous nature of the relation between governance and performance, we introduce in the all regression models a lagged dependent variable by employing the generalized methods of moments (GMM). This method allows us to control for persistency and endogeneity and therefore provides consistent estimates. A number of tests are used in these models to evaluate reliability of our econometric methodology (</w:t>
      </w:r>
      <w:proofErr w:type="spellStart"/>
      <w:r w:rsidRPr="00693AF8">
        <w:rPr>
          <w:rFonts w:asciiTheme="majorBidi" w:hAnsiTheme="majorBidi" w:cstheme="majorBidi"/>
          <w:color w:val="000000"/>
          <w:lang w:val="en-US"/>
        </w:rPr>
        <w:t>Sargan’s</w:t>
      </w:r>
      <w:proofErr w:type="spellEnd"/>
      <w:r w:rsidRPr="00693AF8">
        <w:rPr>
          <w:rFonts w:asciiTheme="majorBidi" w:hAnsiTheme="majorBidi" w:cstheme="majorBidi"/>
          <w:color w:val="000000"/>
          <w:lang w:val="en-US"/>
        </w:rPr>
        <w:t xml:space="preserve"> test) and to analyze the first and the second order serial correlations in the error process (</w:t>
      </w:r>
      <w:proofErr w:type="gramStart"/>
      <w:r w:rsidRPr="00693AF8">
        <w:rPr>
          <w:rFonts w:asciiTheme="majorBidi" w:hAnsiTheme="majorBidi" w:cstheme="majorBidi"/>
          <w:color w:val="000000"/>
          <w:lang w:val="en-US"/>
        </w:rPr>
        <w:t>AR(</w:t>
      </w:r>
      <w:proofErr w:type="gramEnd"/>
      <w:r w:rsidRPr="00693AF8">
        <w:rPr>
          <w:rFonts w:asciiTheme="majorBidi" w:hAnsiTheme="majorBidi" w:cstheme="majorBidi"/>
          <w:color w:val="000000"/>
          <w:lang w:val="en-US"/>
        </w:rPr>
        <w:t>1), AR(2)). The results from the system GMM estimator reported in table 5 are qualitatively similar to the baseline regressions. Most variables keep the same sign and remain significant as they were in the previous findings (OLS).</w:t>
      </w:r>
    </w:p>
    <w:p w:rsidR="00E268D5" w:rsidRDefault="00E268D5" w:rsidP="00693AF8">
      <w:pPr>
        <w:jc w:val="both"/>
        <w:rPr>
          <w:rFonts w:asciiTheme="majorBidi" w:hAnsiTheme="majorBidi" w:cstheme="majorBidi"/>
          <w:b/>
          <w:color w:val="000000"/>
          <w:lang w:val="en-US"/>
        </w:rPr>
      </w:pPr>
    </w:p>
    <w:p w:rsidR="00693AF8" w:rsidRPr="00693AF8" w:rsidRDefault="00E268D5" w:rsidP="00693AF8">
      <w:pPr>
        <w:jc w:val="both"/>
        <w:rPr>
          <w:rFonts w:asciiTheme="majorBidi" w:hAnsiTheme="majorBidi" w:cstheme="majorBidi"/>
          <w:b/>
          <w:color w:val="000000"/>
          <w:lang w:val="en-US"/>
        </w:rPr>
      </w:pPr>
      <w:r>
        <w:rPr>
          <w:rFonts w:asciiTheme="majorBidi" w:hAnsiTheme="majorBidi" w:cstheme="majorBidi"/>
          <w:b/>
          <w:color w:val="000000"/>
          <w:lang w:val="en-US"/>
        </w:rPr>
        <w:t xml:space="preserve">5. </w:t>
      </w:r>
      <w:r w:rsidR="00693AF8" w:rsidRPr="00693AF8">
        <w:rPr>
          <w:rFonts w:asciiTheme="majorBidi" w:hAnsiTheme="majorBidi" w:cstheme="majorBidi"/>
          <w:b/>
          <w:color w:val="000000"/>
          <w:lang w:val="en-US"/>
        </w:rPr>
        <w:t>Conclusion</w:t>
      </w:r>
    </w:p>
    <w:p w:rsidR="00E268D5" w:rsidRDefault="00E268D5" w:rsidP="00693AF8">
      <w:pPr>
        <w:jc w:val="both"/>
        <w:rPr>
          <w:rFonts w:asciiTheme="majorBidi" w:hAnsiTheme="majorBidi" w:cstheme="majorBidi"/>
          <w:color w:val="000000"/>
          <w:lang w:val="en-US"/>
        </w:rPr>
      </w:pPr>
    </w:p>
    <w:p w:rsidR="00693AF8" w:rsidRPr="00693AF8" w:rsidRDefault="00693AF8" w:rsidP="00E268D5">
      <w:pPr>
        <w:spacing w:line="240" w:lineRule="exact"/>
        <w:ind w:right="-28" w:firstLine="244"/>
        <w:jc w:val="both"/>
        <w:rPr>
          <w:rFonts w:asciiTheme="majorBidi" w:hAnsiTheme="majorBidi" w:cstheme="majorBidi"/>
          <w:lang w:val="en-US"/>
        </w:rPr>
      </w:pPr>
      <w:r w:rsidRPr="00693AF8">
        <w:rPr>
          <w:rFonts w:asciiTheme="majorBidi" w:hAnsiTheme="majorBidi" w:cstheme="majorBidi"/>
          <w:color w:val="000000"/>
          <w:lang w:val="en-US"/>
        </w:rPr>
        <w:t>The relationship between corporate governance and performance has been widely analyzed for developed markets but a few research studies have been done in emerging countries. In this paper, we fill this gap by investigating the role of corporate governance disclosure on Islamic bank performance in the GCC countries. Using content analysis on the banks’ annual reports, we construct a CGDI by consolidating six components of governance, namely</w:t>
      </w:r>
      <w:r w:rsidR="003335C2">
        <w:rPr>
          <w:rFonts w:asciiTheme="majorBidi" w:hAnsiTheme="majorBidi" w:cstheme="majorBidi"/>
          <w:color w:val="000000"/>
          <w:lang w:val="en-US"/>
        </w:rPr>
        <w:t xml:space="preserve"> </w:t>
      </w:r>
      <w:r w:rsidRPr="00693AF8">
        <w:rPr>
          <w:rFonts w:asciiTheme="majorBidi" w:hAnsiTheme="majorBidi" w:cstheme="majorBidi"/>
          <w:lang w:val="en-US"/>
        </w:rPr>
        <w:t>board structure, risk management, transparency and disclosure, audit committee, Sharia supervisory board and investment account holders. Bank performance is measured by three indicators, ROA and ROE as operating performance measure and Tobin’s Q as market performance measure. We analyzed data for 27 Islamic banks from GCC countries over the 2011-2013 periods.</w:t>
      </w:r>
    </w:p>
    <w:p w:rsidR="00693AF8" w:rsidRPr="00693AF8" w:rsidRDefault="00693AF8" w:rsidP="00E268D5">
      <w:pPr>
        <w:spacing w:line="240" w:lineRule="exact"/>
        <w:ind w:right="-28" w:firstLine="244"/>
        <w:jc w:val="both"/>
        <w:rPr>
          <w:rFonts w:asciiTheme="majorBidi" w:hAnsiTheme="majorBidi" w:cstheme="majorBidi"/>
          <w:lang w:val="en-US"/>
        </w:rPr>
      </w:pPr>
      <w:r w:rsidRPr="00693AF8">
        <w:rPr>
          <w:rFonts w:asciiTheme="majorBidi" w:hAnsiTheme="majorBidi" w:cstheme="majorBidi"/>
          <w:lang w:val="en-US"/>
        </w:rPr>
        <w:t>The results on corporate governance practices show high levels of disclosure and compliance with guidelines (AAOIFI, IFSB) on some areas, and relatively low levels in other dimensions. The CGDI analyzed by dimension indicates that the most frequently reported elements are on the SSB dimension (71%) followed by board structure (64%) and risk management (56%). It means that the majority of GCC Islamic banks comply with the basic requirements of governance. The dimension of IAHs and AC are found to be the category with the lowest level of disclosure, with the average dimensional index of 37% and 46% respectively. This seems to lead to the conclusion that information related to IAHS and to other elements such as ownership structure, board remuneration and bank Zakat obligations are relatively missed in the annual reports of Islamic banks. The results also show that there are gaps in corporate governance practices between countries. The current study finds that only two countries, the UAE and Bahrain, possess a higher level of CGDI. The other countries (Qatar, Saudi Arabia, and Kuwait) present a low score of CGDI, which can be explained by weaknesses especially in, three dimensions: IAHs, AC and transparency and disclosure.</w:t>
      </w:r>
    </w:p>
    <w:p w:rsidR="00693AF8" w:rsidRPr="00693AF8" w:rsidRDefault="00693AF8" w:rsidP="00E268D5">
      <w:pPr>
        <w:spacing w:line="240" w:lineRule="exact"/>
        <w:ind w:right="-28" w:firstLine="244"/>
        <w:jc w:val="both"/>
        <w:rPr>
          <w:lang w:val="en-US"/>
        </w:rPr>
      </w:pPr>
      <w:r w:rsidRPr="00693AF8">
        <w:rPr>
          <w:lang w:val="en-US"/>
        </w:rPr>
        <w:t xml:space="preserve">Regarding the relationship between corporate governance and performance, we document a positive and significant association between CGDI and bank performance measured by ROA and ROE, suggesting that well-governed banks outperform poorly governed banks. We also find weak evidence that CGDI positively impacts Tobin’s Q. The results of the study illustrate the fact that three corporate governance dimensions, board of direction, SSB and risk of management, are positive and significant as regards ROA </w:t>
      </w:r>
      <w:r w:rsidRPr="00693AF8">
        <w:rPr>
          <w:lang w:val="en-US"/>
        </w:rPr>
        <w:lastRenderedPageBreak/>
        <w:t>and ROE. There is a clear indication that the structure of the board, the function of SSB and the implementation of risk management committee played an important role in the performance of the Islamic banking sector.</w:t>
      </w:r>
    </w:p>
    <w:p w:rsidR="00693AF8" w:rsidRPr="00693AF8" w:rsidRDefault="00693AF8" w:rsidP="00E268D5">
      <w:pPr>
        <w:spacing w:line="240" w:lineRule="exact"/>
        <w:ind w:right="-28" w:firstLine="244"/>
        <w:jc w:val="both"/>
        <w:rPr>
          <w:lang w:val="en-US"/>
        </w:rPr>
      </w:pPr>
      <w:r w:rsidRPr="00693AF8">
        <w:rPr>
          <w:lang w:val="en-US"/>
        </w:rPr>
        <w:t>Concerning internal and external factors, we identified three bank specific characteristics, size, equity, and risk that were associated with bank performance. As of the effect of macroeconomic and financial industry indicators, we conclude that those variables have no significant impact on ROA and ROE except for bank concentration.</w:t>
      </w:r>
    </w:p>
    <w:p w:rsidR="00802C8C" w:rsidRDefault="00693AF8" w:rsidP="00E268D5">
      <w:pPr>
        <w:spacing w:line="240" w:lineRule="exact"/>
        <w:ind w:right="-28" w:firstLine="244"/>
        <w:jc w:val="both"/>
        <w:rPr>
          <w:rFonts w:asciiTheme="majorBidi" w:hAnsiTheme="majorBidi" w:cstheme="majorBidi"/>
          <w:b/>
          <w:bCs/>
          <w:sz w:val="22"/>
          <w:szCs w:val="22"/>
          <w:lang w:val="id-ID"/>
        </w:rPr>
      </w:pPr>
      <w:r w:rsidRPr="00693AF8">
        <w:rPr>
          <w:lang w:val="en-US"/>
        </w:rPr>
        <w:t xml:space="preserve">The above findings have important implications for researchers, decision makers and corporate boards. Since the average overall CGDI of the GCC Islamic banks is relatively low (54%), the majority of Islamic banks in this region should revise and improve all aspects of corporate governance and specifically categories that are unique to them: SSB, IAHs, internal Sharia review and information on Zakat. Detailed information on these aspects has to be disclosed in the Islamic banks’ annual reports. Second, regulators in GCC countries should encourage Islamic banks to improve governance practices by adopting standards issued by the AAOIF and the IFSB given the implications on performance and the development of the Islamic banking industry. Several regulations concerning SSB, IAHs and risk management have to be imposed by the regulators in the Arab Gulf region. The development of strong governance practices will win public confidence and thereby promote trust amongst investors, equity holders and other parties dealing with Islamic banks. Finally, as suggested by </w:t>
      </w:r>
      <w:proofErr w:type="spellStart"/>
      <w:r w:rsidRPr="00693AF8">
        <w:rPr>
          <w:lang w:val="en-US"/>
        </w:rPr>
        <w:t>Sulaiman</w:t>
      </w:r>
      <w:proofErr w:type="spellEnd"/>
      <w:r w:rsidRPr="00693AF8">
        <w:rPr>
          <w:lang w:val="en-US"/>
        </w:rPr>
        <w:t xml:space="preserve"> et al (2011), in order for Islamic banks to play an optimum role in the development of GCC Islamic countries, it is pertinent to develop regulatory structures to control fraud, exploitation and un-Islamic behavior.</w:t>
      </w:r>
    </w:p>
    <w:p w:rsidR="0055322F" w:rsidRPr="00B97600" w:rsidRDefault="0055322F" w:rsidP="006F4D7A">
      <w:pPr>
        <w:spacing w:line="240" w:lineRule="exact"/>
        <w:ind w:right="-28" w:firstLine="244"/>
        <w:jc w:val="both"/>
        <w:rPr>
          <w:rFonts w:ascii="AHT Times New Roman" w:hAnsi="AHT Times New Roman"/>
          <w:szCs w:val="24"/>
        </w:rPr>
      </w:pPr>
    </w:p>
    <w:p w:rsidR="003550E0" w:rsidRPr="003550E0" w:rsidRDefault="003550E0" w:rsidP="003550E0">
      <w:pPr>
        <w:jc w:val="both"/>
        <w:rPr>
          <w:rFonts w:asciiTheme="majorBidi" w:hAnsiTheme="majorBidi" w:cstheme="majorBidi"/>
          <w:b/>
          <w:color w:val="000000"/>
          <w:lang w:val="en-US"/>
        </w:rPr>
      </w:pPr>
      <w:r w:rsidRPr="003550E0">
        <w:rPr>
          <w:rFonts w:asciiTheme="majorBidi" w:hAnsiTheme="majorBidi" w:cstheme="majorBidi"/>
          <w:b/>
          <w:color w:val="000000"/>
          <w:lang w:val="en-US"/>
        </w:rPr>
        <w:t>Notes</w:t>
      </w:r>
    </w:p>
    <w:p w:rsidR="003550E0" w:rsidRDefault="003550E0" w:rsidP="003550E0">
      <w:pPr>
        <w:jc w:val="both"/>
        <w:rPr>
          <w:rFonts w:asciiTheme="majorBidi" w:hAnsiTheme="majorBidi" w:cstheme="majorBidi"/>
          <w:sz w:val="24"/>
          <w:szCs w:val="24"/>
          <w:lang w:val="en-US"/>
        </w:rPr>
      </w:pPr>
      <w:r w:rsidRPr="00FA362D">
        <w:rPr>
          <w:rFonts w:asciiTheme="majorBidi" w:hAnsiTheme="majorBidi" w:cstheme="majorBidi"/>
          <w:lang w:val="en-US"/>
        </w:rPr>
        <w:t xml:space="preserve">1. </w:t>
      </w:r>
      <w:r w:rsidRPr="005A2EC1">
        <w:rPr>
          <w:rFonts w:asciiTheme="majorBidi" w:hAnsiTheme="majorBidi" w:cstheme="majorBidi"/>
          <w:lang w:val="en-US"/>
        </w:rPr>
        <w:t>See governance standard for Isl</w:t>
      </w:r>
      <w:r>
        <w:rPr>
          <w:rFonts w:asciiTheme="majorBidi" w:hAnsiTheme="majorBidi" w:cstheme="majorBidi"/>
          <w:lang w:val="en-US"/>
        </w:rPr>
        <w:t>amic financial institutions</w:t>
      </w:r>
      <w:r w:rsidRPr="005A2EC1">
        <w:rPr>
          <w:rFonts w:asciiTheme="majorBidi" w:hAnsiTheme="majorBidi" w:cstheme="majorBidi"/>
          <w:lang w:val="en-US"/>
        </w:rPr>
        <w:t>.</w:t>
      </w:r>
    </w:p>
    <w:p w:rsidR="003550E0" w:rsidRDefault="003550E0" w:rsidP="003550E0">
      <w:pPr>
        <w:jc w:val="both"/>
        <w:rPr>
          <w:rFonts w:asciiTheme="majorBidi" w:hAnsiTheme="majorBidi" w:cstheme="majorBidi"/>
          <w:lang w:val="en-US"/>
        </w:rPr>
      </w:pPr>
      <w:r w:rsidRPr="00FA362D">
        <w:rPr>
          <w:rFonts w:asciiTheme="majorBidi" w:hAnsiTheme="majorBidi" w:cstheme="majorBidi"/>
          <w:color w:val="000000"/>
          <w:lang w:val="en-US"/>
        </w:rPr>
        <w:t xml:space="preserve">2. </w:t>
      </w:r>
      <w:r w:rsidRPr="005C7465">
        <w:rPr>
          <w:rFonts w:asciiTheme="majorBidi" w:hAnsiTheme="majorBidi" w:cstheme="majorBidi"/>
          <w:lang w:val="en-US"/>
        </w:rPr>
        <w:t xml:space="preserve">PER is an amount set aside from the income of both IAH and shareholders before the allocation of the bank’s share as </w:t>
      </w:r>
      <w:proofErr w:type="spellStart"/>
      <w:r w:rsidRPr="005C7465">
        <w:rPr>
          <w:rFonts w:asciiTheme="majorBidi" w:hAnsiTheme="majorBidi" w:cstheme="majorBidi"/>
          <w:lang w:val="en-US"/>
        </w:rPr>
        <w:t>Mudarib</w:t>
      </w:r>
      <w:proofErr w:type="spellEnd"/>
      <w:r w:rsidRPr="005C7465">
        <w:rPr>
          <w:rFonts w:asciiTheme="majorBidi" w:hAnsiTheme="majorBidi" w:cstheme="majorBidi"/>
          <w:lang w:val="en-US"/>
        </w:rPr>
        <w:t xml:space="preserve"> to smooth the profit of IAH to match the returns of instruments in the market, thereby encouraging IA</w:t>
      </w:r>
      <w:r>
        <w:rPr>
          <w:rFonts w:asciiTheme="majorBidi" w:hAnsiTheme="majorBidi" w:cstheme="majorBidi"/>
          <w:lang w:val="en-US"/>
        </w:rPr>
        <w:t xml:space="preserve">H to retain the funds with the </w:t>
      </w:r>
      <w:r w:rsidRPr="005C7465">
        <w:rPr>
          <w:rFonts w:asciiTheme="majorBidi" w:hAnsiTheme="majorBidi" w:cstheme="majorBidi"/>
          <w:lang w:val="en-US"/>
        </w:rPr>
        <w:t>bank to manage them on their behalf</w:t>
      </w:r>
      <w:r>
        <w:rPr>
          <w:rFonts w:asciiTheme="majorBidi" w:hAnsiTheme="majorBidi" w:cstheme="majorBidi"/>
          <w:lang w:val="en-US"/>
        </w:rPr>
        <w:t>.</w:t>
      </w:r>
    </w:p>
    <w:p w:rsidR="003550E0" w:rsidRPr="00FA362D" w:rsidRDefault="003550E0" w:rsidP="003550E0">
      <w:pPr>
        <w:jc w:val="both"/>
        <w:rPr>
          <w:rFonts w:asciiTheme="majorBidi" w:hAnsiTheme="majorBidi" w:cstheme="majorBidi"/>
          <w:lang w:val="en-US"/>
        </w:rPr>
      </w:pPr>
      <w:r w:rsidRPr="00FA362D">
        <w:rPr>
          <w:rFonts w:asciiTheme="majorBidi" w:hAnsiTheme="majorBidi" w:cstheme="majorBidi"/>
          <w:lang w:val="en-US"/>
        </w:rPr>
        <w:t xml:space="preserve">3. </w:t>
      </w:r>
      <w:r w:rsidRPr="005C7465">
        <w:rPr>
          <w:rFonts w:asciiTheme="majorBidi" w:hAnsiTheme="majorBidi" w:cstheme="majorBidi"/>
          <w:lang w:val="en-US"/>
        </w:rPr>
        <w:t xml:space="preserve">IRR is an amount set aside from the income of IAH, but not the shareholders, after the allocation of the bank’s share as a </w:t>
      </w:r>
      <w:proofErr w:type="spellStart"/>
      <w:r w:rsidRPr="005C7465">
        <w:rPr>
          <w:rFonts w:asciiTheme="majorBidi" w:hAnsiTheme="majorBidi" w:cstheme="majorBidi"/>
          <w:lang w:val="en-US"/>
        </w:rPr>
        <w:t>Mudarib</w:t>
      </w:r>
      <w:proofErr w:type="spellEnd"/>
      <w:r w:rsidRPr="005C7465">
        <w:rPr>
          <w:rFonts w:asciiTheme="majorBidi" w:hAnsiTheme="majorBidi" w:cstheme="majorBidi"/>
          <w:lang w:val="en-US"/>
        </w:rPr>
        <w:t xml:space="preserve"> to absorb losses attributed to investments financed by IAH before the losses affect the equity of IAH</w:t>
      </w:r>
      <w:r>
        <w:rPr>
          <w:rFonts w:asciiTheme="majorBidi" w:hAnsiTheme="majorBidi" w:cstheme="majorBidi"/>
          <w:lang w:val="en-US"/>
        </w:rPr>
        <w:t>.</w:t>
      </w:r>
    </w:p>
    <w:p w:rsidR="0055322F" w:rsidRDefault="003550E0" w:rsidP="003550E0">
      <w:pPr>
        <w:spacing w:line="276" w:lineRule="auto"/>
        <w:jc w:val="both"/>
        <w:rPr>
          <w:rFonts w:asciiTheme="majorBidi" w:hAnsiTheme="majorBidi" w:cstheme="majorBidi"/>
          <w:lang w:val="en-US"/>
        </w:rPr>
      </w:pPr>
      <w:r w:rsidRPr="00FA362D">
        <w:rPr>
          <w:rFonts w:asciiTheme="majorBidi" w:hAnsiTheme="majorBidi" w:cstheme="majorBidi"/>
          <w:lang w:val="en-US"/>
        </w:rPr>
        <w:t>4.</w:t>
      </w:r>
      <w:r>
        <w:rPr>
          <w:rFonts w:asciiTheme="majorBidi" w:hAnsiTheme="majorBidi" w:cstheme="majorBidi"/>
          <w:lang w:val="en-US"/>
        </w:rPr>
        <w:t xml:space="preserve"> </w:t>
      </w:r>
      <w:r w:rsidRPr="00174628">
        <w:rPr>
          <w:rFonts w:asciiTheme="majorBidi" w:hAnsiTheme="majorBidi" w:cstheme="majorBidi"/>
          <w:lang w:val="en-US"/>
        </w:rPr>
        <w:t>OECD guidelines of 2004, corporate governance codes in the respective GCC countries, the standard on CG promulgated by the accounting and auditing organization of Islamic financial institutions (AAOIFI) and the framework introduced by the Islamic financial services board (IFSB).</w:t>
      </w:r>
    </w:p>
    <w:p w:rsidR="003550E0" w:rsidRDefault="003550E0" w:rsidP="003550E0">
      <w:pPr>
        <w:spacing w:line="276" w:lineRule="auto"/>
        <w:jc w:val="both"/>
        <w:rPr>
          <w:rFonts w:asciiTheme="majorBidi" w:hAnsiTheme="majorBidi" w:cstheme="majorBidi"/>
          <w:lang w:val="en-US"/>
        </w:rPr>
      </w:pPr>
    </w:p>
    <w:p w:rsidR="003550E0" w:rsidRPr="003550E0" w:rsidRDefault="003550E0" w:rsidP="003550E0">
      <w:pPr>
        <w:tabs>
          <w:tab w:val="right" w:pos="720"/>
        </w:tabs>
        <w:jc w:val="both"/>
        <w:rPr>
          <w:rFonts w:asciiTheme="majorBidi" w:hAnsiTheme="majorBidi" w:cstheme="majorBidi"/>
          <w:b/>
          <w:bCs/>
          <w:lang w:val="en-US"/>
        </w:rPr>
      </w:pPr>
      <w:r w:rsidRPr="003550E0">
        <w:rPr>
          <w:rFonts w:asciiTheme="majorBidi" w:hAnsiTheme="majorBidi" w:cstheme="majorBidi"/>
          <w:b/>
          <w:bCs/>
          <w:lang w:val="en-US"/>
        </w:rPr>
        <w:t>Appendix1: dimensions and items for corporate governance disclosure index</w:t>
      </w:r>
    </w:p>
    <w:p w:rsidR="003550E0" w:rsidRPr="003550E0" w:rsidRDefault="003550E0" w:rsidP="003550E0">
      <w:pPr>
        <w:tabs>
          <w:tab w:val="right" w:pos="720"/>
        </w:tabs>
        <w:jc w:val="both"/>
        <w:rPr>
          <w:rFonts w:asciiTheme="majorBidi" w:hAnsiTheme="majorBidi" w:cstheme="majorBidi"/>
          <w:i/>
          <w:iCs/>
          <w:lang w:val="en-US"/>
        </w:rPr>
      </w:pPr>
      <w:r w:rsidRPr="003550E0">
        <w:rPr>
          <w:rFonts w:asciiTheme="majorBidi" w:hAnsiTheme="majorBidi" w:cstheme="majorBidi"/>
          <w:i/>
          <w:iCs/>
          <w:lang w:val="en-US"/>
        </w:rPr>
        <w:t>* Board structure (board of directors)</w:t>
      </w:r>
    </w:p>
    <w:p w:rsidR="003550E0" w:rsidRPr="003550E0" w:rsidRDefault="003550E0" w:rsidP="00FF6636">
      <w:pPr>
        <w:tabs>
          <w:tab w:val="right" w:pos="720"/>
        </w:tabs>
        <w:jc w:val="both"/>
        <w:rPr>
          <w:rFonts w:asciiTheme="majorBidi" w:hAnsiTheme="majorBidi" w:cstheme="majorBidi"/>
          <w:lang w:val="en-US"/>
        </w:rPr>
      </w:pPr>
      <w:r w:rsidRPr="003550E0">
        <w:rPr>
          <w:rFonts w:asciiTheme="majorBidi" w:hAnsiTheme="majorBidi" w:cstheme="majorBidi"/>
          <w:lang w:val="en-US"/>
        </w:rPr>
        <w:t>-Size of board of directors is at least 5 but not more than 11 members.</w:t>
      </w:r>
    </w:p>
    <w:p w:rsidR="003550E0" w:rsidRPr="003550E0" w:rsidRDefault="003550E0" w:rsidP="00FF6636">
      <w:pPr>
        <w:tabs>
          <w:tab w:val="right" w:pos="720"/>
        </w:tabs>
        <w:jc w:val="both"/>
        <w:rPr>
          <w:rFonts w:asciiTheme="majorBidi" w:hAnsiTheme="majorBidi" w:cstheme="majorBidi"/>
          <w:lang w:val="en-US"/>
        </w:rPr>
      </w:pPr>
      <w:r w:rsidRPr="003550E0">
        <w:rPr>
          <w:rFonts w:asciiTheme="majorBidi" w:hAnsiTheme="majorBidi" w:cstheme="majorBidi"/>
          <w:lang w:val="en-US"/>
        </w:rPr>
        <w:t>-The CEO and board chairman are different persons or a lead director is specified.</w:t>
      </w:r>
    </w:p>
    <w:p w:rsidR="003550E0" w:rsidRPr="003550E0" w:rsidRDefault="003550E0" w:rsidP="00FF6636">
      <w:pPr>
        <w:tabs>
          <w:tab w:val="right" w:pos="720"/>
        </w:tabs>
        <w:jc w:val="both"/>
        <w:rPr>
          <w:rFonts w:asciiTheme="majorBidi" w:hAnsiTheme="majorBidi" w:cstheme="majorBidi"/>
          <w:lang w:val="en-US"/>
        </w:rPr>
      </w:pPr>
      <w:r w:rsidRPr="003550E0">
        <w:rPr>
          <w:rFonts w:asciiTheme="majorBidi" w:hAnsiTheme="majorBidi" w:cstheme="majorBidi"/>
          <w:lang w:val="en-US"/>
        </w:rPr>
        <w:t>-The bank conducts more meetings than the median number of meeting of the sample banks.</w:t>
      </w:r>
    </w:p>
    <w:p w:rsidR="003550E0" w:rsidRPr="003550E0" w:rsidRDefault="003550E0" w:rsidP="00FF6636">
      <w:pPr>
        <w:tabs>
          <w:tab w:val="right" w:pos="720"/>
        </w:tabs>
        <w:jc w:val="both"/>
        <w:rPr>
          <w:rFonts w:asciiTheme="majorBidi" w:hAnsiTheme="majorBidi" w:cstheme="majorBidi"/>
          <w:lang w:val="en-US"/>
        </w:rPr>
      </w:pPr>
      <w:r w:rsidRPr="003550E0">
        <w:rPr>
          <w:rFonts w:asciiTheme="majorBidi" w:hAnsiTheme="majorBidi" w:cstheme="majorBidi"/>
          <w:lang w:val="en-US"/>
        </w:rPr>
        <w:t>-The qualifications of the board members are revealed.</w:t>
      </w:r>
    </w:p>
    <w:p w:rsidR="003550E0" w:rsidRPr="003550E0" w:rsidRDefault="003550E0" w:rsidP="00FF6636">
      <w:pPr>
        <w:tabs>
          <w:tab w:val="right" w:pos="720"/>
        </w:tabs>
        <w:jc w:val="both"/>
        <w:rPr>
          <w:rFonts w:asciiTheme="majorBidi" w:hAnsiTheme="majorBidi" w:cstheme="majorBidi"/>
          <w:lang w:val="en-US"/>
        </w:rPr>
      </w:pPr>
      <w:r w:rsidRPr="003550E0">
        <w:rPr>
          <w:rFonts w:asciiTheme="majorBidi" w:hAnsiTheme="majorBidi" w:cstheme="majorBidi"/>
          <w:lang w:val="en-US"/>
        </w:rPr>
        <w:t>-All members attended at least 75% of board meetings.</w:t>
      </w:r>
    </w:p>
    <w:p w:rsidR="003550E0" w:rsidRPr="003550E0" w:rsidRDefault="003550E0" w:rsidP="00FF6636">
      <w:pPr>
        <w:tabs>
          <w:tab w:val="right" w:pos="720"/>
        </w:tabs>
        <w:jc w:val="both"/>
        <w:rPr>
          <w:rFonts w:asciiTheme="majorBidi" w:hAnsiTheme="majorBidi" w:cstheme="majorBidi"/>
          <w:lang w:val="en-US"/>
        </w:rPr>
      </w:pPr>
      <w:r w:rsidRPr="003550E0">
        <w:rPr>
          <w:rFonts w:asciiTheme="majorBidi" w:hAnsiTheme="majorBidi" w:cstheme="majorBidi"/>
          <w:lang w:val="en-US"/>
        </w:rPr>
        <w:t xml:space="preserve">-Independent directors are </w:t>
      </w:r>
      <w:r w:rsidRPr="003550E0">
        <w:rPr>
          <w:rFonts w:asciiTheme="majorBidi" w:hAnsiTheme="majorBidi" w:cstheme="majorBidi" w:hint="cs"/>
          <w:lang w:val="en-US"/>
        </w:rPr>
        <w:t>&gt;</w:t>
      </w:r>
      <w:r w:rsidRPr="003550E0">
        <w:rPr>
          <w:rFonts w:asciiTheme="majorBidi" w:hAnsiTheme="majorBidi" w:cstheme="majorBidi"/>
          <w:lang w:val="en-US"/>
        </w:rPr>
        <w:t xml:space="preserve"> 1/3 of the total board size.</w:t>
      </w:r>
    </w:p>
    <w:p w:rsidR="003550E0" w:rsidRPr="003550E0" w:rsidRDefault="003550E0" w:rsidP="00FF6636">
      <w:pPr>
        <w:tabs>
          <w:tab w:val="right" w:pos="720"/>
        </w:tabs>
        <w:jc w:val="both"/>
        <w:rPr>
          <w:rFonts w:asciiTheme="majorBidi" w:hAnsiTheme="majorBidi" w:cstheme="majorBidi"/>
          <w:lang w:val="en-US"/>
        </w:rPr>
      </w:pPr>
      <w:r w:rsidRPr="003550E0">
        <w:rPr>
          <w:rFonts w:asciiTheme="majorBidi" w:hAnsiTheme="majorBidi" w:cstheme="majorBidi"/>
          <w:lang w:val="en-US"/>
        </w:rPr>
        <w:t>-Share holdings of members are available.</w:t>
      </w:r>
    </w:p>
    <w:p w:rsidR="003550E0" w:rsidRPr="003550E0" w:rsidRDefault="003550E0" w:rsidP="00FF6636">
      <w:pPr>
        <w:tabs>
          <w:tab w:val="right" w:pos="720"/>
        </w:tabs>
        <w:jc w:val="both"/>
        <w:rPr>
          <w:rFonts w:asciiTheme="majorBidi" w:hAnsiTheme="majorBidi" w:cstheme="majorBidi"/>
          <w:lang w:val="en-US"/>
        </w:rPr>
      </w:pPr>
      <w:r w:rsidRPr="003550E0">
        <w:rPr>
          <w:rFonts w:asciiTheme="majorBidi" w:hAnsiTheme="majorBidi" w:cstheme="majorBidi"/>
          <w:lang w:val="en-US"/>
        </w:rPr>
        <w:t>-The chairman of the board is non-executive director.</w:t>
      </w:r>
    </w:p>
    <w:p w:rsidR="003550E0" w:rsidRPr="003550E0" w:rsidRDefault="003550E0" w:rsidP="00FF6636">
      <w:pPr>
        <w:tabs>
          <w:tab w:val="right" w:pos="720"/>
        </w:tabs>
        <w:jc w:val="both"/>
        <w:rPr>
          <w:rFonts w:asciiTheme="majorBidi" w:hAnsiTheme="majorBidi" w:cstheme="majorBidi"/>
          <w:lang w:val="en-US"/>
        </w:rPr>
      </w:pPr>
      <w:r w:rsidRPr="003550E0">
        <w:rPr>
          <w:rFonts w:asciiTheme="majorBidi" w:hAnsiTheme="majorBidi" w:cstheme="majorBidi"/>
          <w:lang w:val="en-US"/>
        </w:rPr>
        <w:t>-Predefined set of criteria upon the selection of members.</w:t>
      </w:r>
    </w:p>
    <w:p w:rsidR="003550E0" w:rsidRPr="003550E0" w:rsidRDefault="003550E0" w:rsidP="00FF6636">
      <w:pPr>
        <w:tabs>
          <w:tab w:val="right" w:pos="720"/>
        </w:tabs>
        <w:jc w:val="both"/>
        <w:rPr>
          <w:rFonts w:asciiTheme="majorBidi" w:hAnsiTheme="majorBidi" w:cstheme="majorBidi"/>
          <w:lang w:val="en-US"/>
        </w:rPr>
      </w:pPr>
      <w:r w:rsidRPr="003550E0">
        <w:rPr>
          <w:rFonts w:asciiTheme="majorBidi" w:hAnsiTheme="majorBidi" w:cstheme="majorBidi"/>
          <w:lang w:val="en-US"/>
        </w:rPr>
        <w:t>-The bank has more than the median number of board committees.</w:t>
      </w:r>
    </w:p>
    <w:p w:rsidR="003550E0" w:rsidRPr="003550E0" w:rsidRDefault="003550E0" w:rsidP="00FF6636">
      <w:pPr>
        <w:tabs>
          <w:tab w:val="right" w:pos="720"/>
        </w:tabs>
        <w:jc w:val="both"/>
        <w:rPr>
          <w:rFonts w:asciiTheme="majorBidi" w:hAnsiTheme="majorBidi" w:cstheme="majorBidi"/>
          <w:lang w:val="en-US"/>
        </w:rPr>
      </w:pPr>
      <w:r w:rsidRPr="003550E0">
        <w:rPr>
          <w:rFonts w:asciiTheme="majorBidi" w:hAnsiTheme="majorBidi" w:cstheme="majorBidi"/>
          <w:lang w:val="en-US"/>
        </w:rPr>
        <w:t>-There are representatives of minority shareholders in BOD.</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has developed a formal and transparent procedure for fixing the remuneration packages of board members.</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number of board meetings held in the year and the attendance of every board member are disclosed in the bank’s annual report.</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has implemented a procedure for a regular assessment of the board.</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has formed at least three committees (for example, nominating committee, remuneration committee, audit committee, and so on) to assist BOD in the decision making process.</w:t>
      </w:r>
    </w:p>
    <w:p w:rsidR="003550E0" w:rsidRPr="003550E0" w:rsidRDefault="003550E0" w:rsidP="003550E0">
      <w:pPr>
        <w:tabs>
          <w:tab w:val="right" w:pos="720"/>
        </w:tabs>
        <w:jc w:val="both"/>
        <w:rPr>
          <w:rFonts w:asciiTheme="majorBidi" w:hAnsiTheme="majorBidi" w:cstheme="majorBidi"/>
          <w:lang w:val="en-US"/>
        </w:rPr>
      </w:pPr>
    </w:p>
    <w:p w:rsidR="003550E0" w:rsidRPr="003550E0" w:rsidRDefault="003550E0" w:rsidP="003550E0">
      <w:pPr>
        <w:tabs>
          <w:tab w:val="right" w:pos="720"/>
        </w:tabs>
        <w:jc w:val="both"/>
        <w:rPr>
          <w:rFonts w:asciiTheme="majorBidi" w:hAnsiTheme="majorBidi" w:cstheme="majorBidi"/>
          <w:i/>
          <w:iCs/>
          <w:lang w:val="en-US"/>
        </w:rPr>
      </w:pPr>
      <w:r w:rsidRPr="003550E0">
        <w:rPr>
          <w:rFonts w:asciiTheme="majorBidi" w:hAnsiTheme="majorBidi" w:cstheme="majorBidi"/>
          <w:i/>
          <w:iCs/>
          <w:lang w:val="en-US"/>
        </w:rPr>
        <w:lastRenderedPageBreak/>
        <w:t>* Risk management</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has a risk management committee (RMC) or a risk management division.</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RMC comprises only non-executive directors with at least three members.</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-Duties and responsibilities of RMC.</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has in place effective and comprehensive risk management policies, processes and infrastructure to identify measure and control the various types of risk undertaken by the Islamic bank.</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-Risk management report in the annual report.</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discloses credit risk.</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discloses liquidity risk.</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discloses market risk.</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discloses operational risk.</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discloses legal risk.</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discloses credit compliance risk.</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discloses reputation risk.</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discloses other risks.</w:t>
      </w:r>
    </w:p>
    <w:p w:rsidR="003550E0" w:rsidRPr="003550E0" w:rsidRDefault="003550E0" w:rsidP="003550E0">
      <w:pPr>
        <w:tabs>
          <w:tab w:val="right" w:pos="720"/>
        </w:tabs>
        <w:jc w:val="both"/>
        <w:rPr>
          <w:rFonts w:asciiTheme="majorBidi" w:hAnsiTheme="majorBidi" w:cstheme="majorBidi"/>
          <w:lang w:val="en-US"/>
        </w:rPr>
      </w:pPr>
    </w:p>
    <w:p w:rsidR="003550E0" w:rsidRPr="003550E0" w:rsidRDefault="003550E0" w:rsidP="003550E0">
      <w:pPr>
        <w:tabs>
          <w:tab w:val="right" w:pos="720"/>
        </w:tabs>
        <w:jc w:val="both"/>
        <w:rPr>
          <w:rFonts w:asciiTheme="majorBidi" w:hAnsiTheme="majorBidi" w:cstheme="majorBidi"/>
          <w:i/>
          <w:iCs/>
          <w:lang w:val="en-US"/>
        </w:rPr>
      </w:pPr>
      <w:r w:rsidRPr="003550E0">
        <w:rPr>
          <w:rFonts w:asciiTheme="majorBidi" w:hAnsiTheme="majorBidi" w:cstheme="majorBidi"/>
          <w:i/>
          <w:iCs/>
          <w:lang w:val="en-US"/>
        </w:rPr>
        <w:t>* Transparency and disclosure</w:t>
      </w:r>
    </w:p>
    <w:p w:rsidR="003550E0" w:rsidRPr="003550E0" w:rsidRDefault="003550E0" w:rsidP="00FF6636">
      <w:pPr>
        <w:tabs>
          <w:tab w:val="right" w:pos="720"/>
        </w:tabs>
        <w:jc w:val="both"/>
        <w:rPr>
          <w:rFonts w:asciiTheme="majorBidi" w:hAnsiTheme="majorBidi" w:cstheme="majorBidi"/>
          <w:lang w:val="en-US"/>
        </w:rPr>
      </w:pPr>
      <w:r w:rsidRPr="003550E0">
        <w:rPr>
          <w:rFonts w:asciiTheme="majorBidi" w:hAnsiTheme="majorBidi" w:cstheme="majorBidi"/>
          <w:lang w:val="en-US"/>
        </w:rPr>
        <w:t>-The bank has a transparent ownership structure.</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-Bank annual report discloses information on remuneration of members of BOD and executive staff.</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reports the accounting standard followed.</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has full disclosure of corporate governance practices.</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-Bank annual report discloses details on the corporate social responsibility.</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 xml:space="preserve">-Bank discloses the number of RMC meetings held in that year and information on the number of meetings attended by each member of committee. </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discloses information about method used for determining the Zakat base.</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annual reports specify Zakat distribution and beneficiaries.</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has a statement of sources and uses of Zakat fund.</w:t>
      </w:r>
    </w:p>
    <w:p w:rsidR="003550E0" w:rsidRPr="003550E0" w:rsidRDefault="003550E0" w:rsidP="003550E0">
      <w:pPr>
        <w:tabs>
          <w:tab w:val="right" w:pos="720"/>
        </w:tabs>
        <w:jc w:val="both"/>
        <w:rPr>
          <w:rFonts w:asciiTheme="majorBidi" w:hAnsiTheme="majorBidi" w:cstheme="majorBidi"/>
          <w:lang w:val="en-US"/>
        </w:rPr>
      </w:pPr>
    </w:p>
    <w:p w:rsidR="003550E0" w:rsidRPr="003550E0" w:rsidRDefault="003550E0" w:rsidP="003550E0">
      <w:pPr>
        <w:tabs>
          <w:tab w:val="right" w:pos="720"/>
        </w:tabs>
        <w:jc w:val="both"/>
        <w:rPr>
          <w:rFonts w:asciiTheme="majorBidi" w:hAnsiTheme="majorBidi" w:cstheme="majorBidi"/>
          <w:i/>
          <w:iCs/>
          <w:lang w:val="en-US"/>
        </w:rPr>
      </w:pPr>
      <w:r w:rsidRPr="003550E0">
        <w:rPr>
          <w:rFonts w:asciiTheme="majorBidi" w:hAnsiTheme="majorBidi" w:cstheme="majorBidi"/>
          <w:lang w:val="en-US"/>
        </w:rPr>
        <w:t>*</w:t>
      </w:r>
      <w:r w:rsidRPr="003550E0">
        <w:rPr>
          <w:rFonts w:asciiTheme="majorBidi" w:hAnsiTheme="majorBidi" w:cstheme="majorBidi"/>
          <w:i/>
          <w:iCs/>
          <w:lang w:val="en-US"/>
        </w:rPr>
        <w:t>Audit committee (AC)</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has formed an audit committee.</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-AC consists solely of non-executive directors.</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-Two-thirds of members in AC are independent directors.</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chairman of AC is an independent director.</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-One member at least of AC has accounting expertise or experience in the field of finance.</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-Size of AC is at least three members.</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-AC holds regular meetings 3-4 times per year.</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-Banks has a formal policy on functions and responsibilities of AC.</w:t>
      </w:r>
    </w:p>
    <w:p w:rsidR="003550E0" w:rsidRPr="003550E0" w:rsidRDefault="003550E0" w:rsidP="003550E0">
      <w:pPr>
        <w:tabs>
          <w:tab w:val="right" w:pos="720"/>
        </w:tabs>
        <w:jc w:val="both"/>
        <w:rPr>
          <w:rFonts w:asciiTheme="majorBidi" w:hAnsiTheme="majorBidi" w:cstheme="majorBidi"/>
          <w:lang w:val="en-US"/>
        </w:rPr>
      </w:pPr>
    </w:p>
    <w:p w:rsidR="003550E0" w:rsidRPr="003550E0" w:rsidRDefault="003550E0" w:rsidP="003550E0">
      <w:pPr>
        <w:tabs>
          <w:tab w:val="right" w:pos="720"/>
        </w:tabs>
        <w:jc w:val="both"/>
        <w:rPr>
          <w:rFonts w:asciiTheme="majorBidi" w:hAnsiTheme="majorBidi" w:cstheme="majorBidi"/>
          <w:i/>
          <w:iCs/>
          <w:lang w:val="en-US"/>
        </w:rPr>
      </w:pPr>
      <w:r w:rsidRPr="003550E0">
        <w:rPr>
          <w:rFonts w:asciiTheme="majorBidi" w:hAnsiTheme="majorBidi" w:cstheme="majorBidi"/>
          <w:lang w:val="en-US"/>
        </w:rPr>
        <w:t>*</w:t>
      </w:r>
      <w:r w:rsidRPr="003550E0">
        <w:rPr>
          <w:rFonts w:asciiTheme="majorBidi" w:hAnsiTheme="majorBidi" w:cstheme="majorBidi"/>
          <w:i/>
          <w:iCs/>
          <w:lang w:val="en-US"/>
        </w:rPr>
        <w:t>Sharia supervisory board (SSB)</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qualification and experience of members are revealed.</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-SSB contains of a minimum of three members.</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has formed an internal Sharia review to help the SSB in their task and to carry out an ex post Sharia audit.</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-SSB members are not entitled to be members of the board of directors and do not own any shares of the bank.</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discloses information on remuneration of members.</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has a formal policy on duties and responsibilities of SSB.</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discloses the attendance of every member.</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members of SSB are chosen and dismissed according to policies and procedures established by the bank.</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discloses a report of SSB on the conformity of the Islamic bank’s operations with the Sharia principles.</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-SSB holds regular meetings at least 4 times per year.</w:t>
      </w:r>
    </w:p>
    <w:p w:rsidR="003550E0" w:rsidRPr="003550E0" w:rsidRDefault="003550E0" w:rsidP="003550E0">
      <w:pPr>
        <w:tabs>
          <w:tab w:val="right" w:pos="720"/>
        </w:tabs>
        <w:jc w:val="both"/>
        <w:rPr>
          <w:rFonts w:asciiTheme="majorBidi" w:hAnsiTheme="majorBidi" w:cstheme="majorBidi"/>
          <w:lang w:val="en-US"/>
        </w:rPr>
      </w:pPr>
    </w:p>
    <w:p w:rsidR="003550E0" w:rsidRPr="003550E0" w:rsidRDefault="003550E0" w:rsidP="003550E0">
      <w:pPr>
        <w:tabs>
          <w:tab w:val="right" w:pos="720"/>
        </w:tabs>
        <w:jc w:val="both"/>
        <w:rPr>
          <w:rFonts w:asciiTheme="majorBidi" w:hAnsiTheme="majorBidi" w:cstheme="majorBidi"/>
          <w:i/>
          <w:iCs/>
          <w:lang w:val="en-US"/>
        </w:rPr>
      </w:pPr>
      <w:r w:rsidRPr="003550E0">
        <w:rPr>
          <w:rFonts w:asciiTheme="majorBidi" w:hAnsiTheme="majorBidi" w:cstheme="majorBidi"/>
          <w:lang w:val="en-US"/>
        </w:rPr>
        <w:t>*</w:t>
      </w:r>
      <w:r w:rsidRPr="003550E0">
        <w:rPr>
          <w:rFonts w:asciiTheme="majorBidi" w:hAnsiTheme="majorBidi" w:cstheme="majorBidi"/>
          <w:i/>
          <w:iCs/>
          <w:lang w:val="en-US"/>
        </w:rPr>
        <w:t>Investment account holders (IAHs)</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lastRenderedPageBreak/>
        <w:t>-Disclosure on contractual risks and rights of IAHs.</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-Strategies relating to the investment and asset allocation.</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-A disclosure of returns of each type of investment account.</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discloses information relating to the methods used in allocating and distributing the profits between shareholders and IAHs.</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bases applied to the utilization of profit equalization reserve (PER).</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bank discloses notes related to the use of investment risk reserve (IRR).</w:t>
      </w:r>
    </w:p>
    <w:p w:rsidR="003550E0" w:rsidRPr="003550E0" w:rsidRDefault="003550E0" w:rsidP="003550E0">
      <w:pPr>
        <w:tabs>
          <w:tab w:val="right" w:pos="720"/>
        </w:tabs>
        <w:jc w:val="both"/>
        <w:rPr>
          <w:rFonts w:asciiTheme="majorBidi" w:hAnsiTheme="majorBidi" w:cstheme="majorBidi"/>
          <w:lang w:val="en-US"/>
        </w:rPr>
      </w:pPr>
      <w:r w:rsidRPr="003550E0">
        <w:rPr>
          <w:rFonts w:asciiTheme="majorBidi" w:hAnsiTheme="majorBidi" w:cstheme="majorBidi"/>
          <w:lang w:val="en-US"/>
        </w:rPr>
        <w:t>-The changes occurred during the financial period in the PER and the IRR.</w:t>
      </w:r>
    </w:p>
    <w:p w:rsidR="003550E0" w:rsidRDefault="003550E0" w:rsidP="00FF6636">
      <w:pPr>
        <w:spacing w:line="276" w:lineRule="auto"/>
        <w:jc w:val="both"/>
        <w:rPr>
          <w:rFonts w:ascii="AHT Times New Roman" w:hAnsi="AHT Times New Roman"/>
          <w:szCs w:val="24"/>
        </w:rPr>
      </w:pPr>
      <w:r w:rsidRPr="003550E0">
        <w:rPr>
          <w:rFonts w:asciiTheme="majorBidi" w:hAnsiTheme="majorBidi" w:cstheme="majorBidi"/>
          <w:lang w:val="en-US"/>
        </w:rPr>
        <w:t>-IAHs are involved in the strategic management of the bank.</w:t>
      </w:r>
    </w:p>
    <w:p w:rsidR="003550E0" w:rsidRPr="00B97600" w:rsidRDefault="003550E0" w:rsidP="0055322F">
      <w:pPr>
        <w:spacing w:line="276" w:lineRule="auto"/>
        <w:jc w:val="both"/>
        <w:rPr>
          <w:rFonts w:ascii="AHT Times New Roman" w:hAnsi="AHT Times New Roman"/>
          <w:szCs w:val="24"/>
        </w:rPr>
      </w:pPr>
    </w:p>
    <w:p w:rsidR="0055322F" w:rsidRDefault="00EE2982" w:rsidP="00EE2982">
      <w:pPr>
        <w:autoSpaceDE w:val="0"/>
        <w:autoSpaceDN w:val="0"/>
        <w:adjustRightInd w:val="0"/>
        <w:ind w:right="-181"/>
        <w:jc w:val="both"/>
        <w:rPr>
          <w:rFonts w:ascii="AHT Times New Roman" w:hAnsi="AHT Times New Roman"/>
          <w:b/>
          <w:bCs/>
          <w:iCs/>
          <w:szCs w:val="24"/>
          <w:lang w:val="id-ID"/>
        </w:rPr>
      </w:pPr>
      <w:r w:rsidRPr="00B97600">
        <w:rPr>
          <w:rFonts w:ascii="AHT Times New Roman" w:hAnsi="AHT Times New Roman"/>
          <w:b/>
          <w:bCs/>
          <w:iCs/>
          <w:szCs w:val="24"/>
        </w:rPr>
        <w:t>References</w:t>
      </w:r>
    </w:p>
    <w:p w:rsidR="005F04A8" w:rsidRDefault="005F04A8" w:rsidP="00693AF8">
      <w:pPr>
        <w:tabs>
          <w:tab w:val="right" w:pos="720"/>
        </w:tabs>
        <w:ind w:left="527" w:hanging="527"/>
        <w:jc w:val="both"/>
        <w:rPr>
          <w:color w:val="000000" w:themeColor="text1"/>
          <w:lang w:val="en-US"/>
        </w:rPr>
      </w:pPr>
    </w:p>
    <w:p w:rsidR="00693AF8" w:rsidRPr="00A1733D" w:rsidRDefault="00693AF8" w:rsidP="00693AF8">
      <w:pPr>
        <w:tabs>
          <w:tab w:val="right" w:pos="720"/>
        </w:tabs>
        <w:ind w:left="527" w:hanging="527"/>
        <w:jc w:val="both"/>
        <w:rPr>
          <w:color w:val="000000" w:themeColor="text1"/>
          <w:lang w:val="en-US"/>
        </w:rPr>
      </w:pPr>
      <w:r w:rsidRPr="00FA0B69">
        <w:rPr>
          <w:color w:val="000000" w:themeColor="text1"/>
          <w:lang w:val="en-US"/>
        </w:rPr>
        <w:t>Abu-</w:t>
      </w:r>
      <w:proofErr w:type="spellStart"/>
      <w:r w:rsidRPr="00FA0B69">
        <w:rPr>
          <w:color w:val="000000" w:themeColor="text1"/>
          <w:lang w:val="en-US"/>
        </w:rPr>
        <w:t>Tapanjeh</w:t>
      </w:r>
      <w:proofErr w:type="spellEnd"/>
      <w:r w:rsidRPr="00FA0B69">
        <w:rPr>
          <w:color w:val="000000" w:themeColor="text1"/>
          <w:lang w:val="en-US"/>
        </w:rPr>
        <w:t xml:space="preserve">, </w:t>
      </w:r>
      <w:r>
        <w:rPr>
          <w:color w:val="000000" w:themeColor="text1"/>
          <w:lang w:val="en-US"/>
        </w:rPr>
        <w:t>M., (2009</w:t>
      </w:r>
      <w:r w:rsidRPr="00FA0B69">
        <w:rPr>
          <w:color w:val="000000" w:themeColor="text1"/>
          <w:lang w:val="en-US"/>
        </w:rPr>
        <w:t xml:space="preserve">), </w:t>
      </w:r>
      <w:r>
        <w:rPr>
          <w:color w:val="000000" w:themeColor="text1"/>
          <w:lang w:val="en-US"/>
        </w:rPr>
        <w:t>Corporate Governance from the Islamic perspectives: A comparative analysis with OECD principles</w:t>
      </w:r>
      <w:r w:rsidRPr="00FA0B69">
        <w:rPr>
          <w:color w:val="000000" w:themeColor="text1"/>
          <w:lang w:val="en-US"/>
        </w:rPr>
        <w:t xml:space="preserve">, </w:t>
      </w:r>
      <w:r>
        <w:rPr>
          <w:i/>
          <w:iCs/>
          <w:color w:val="000000" w:themeColor="text1"/>
          <w:lang w:val="en-US"/>
        </w:rPr>
        <w:t>Critical Perspectives on Accounting</w:t>
      </w:r>
      <w:r>
        <w:rPr>
          <w:color w:val="000000" w:themeColor="text1"/>
          <w:lang w:val="en-US"/>
        </w:rPr>
        <w:t>, 20, pp.556-567</w:t>
      </w:r>
      <w:r w:rsidRPr="00FA0B69">
        <w:rPr>
          <w:color w:val="000000" w:themeColor="text1"/>
          <w:lang w:val="en-US"/>
        </w:rPr>
        <w:t>.</w:t>
      </w:r>
    </w:p>
    <w:p w:rsidR="00693AF8" w:rsidRPr="00FA0B69" w:rsidRDefault="00693AF8" w:rsidP="00693AF8">
      <w:pPr>
        <w:tabs>
          <w:tab w:val="right" w:pos="720"/>
        </w:tabs>
        <w:ind w:left="527" w:hanging="527"/>
        <w:jc w:val="both"/>
        <w:rPr>
          <w:rFonts w:asciiTheme="majorBidi" w:hAnsiTheme="majorBidi" w:cstheme="majorBidi"/>
          <w:color w:val="000000" w:themeColor="text1"/>
          <w:lang w:val="en-US"/>
        </w:rPr>
      </w:pPr>
      <w:proofErr w:type="gramStart"/>
      <w:r w:rsidRPr="00FA0B69">
        <w:rPr>
          <w:rFonts w:asciiTheme="majorBidi" w:hAnsiTheme="majorBidi" w:cstheme="majorBidi"/>
          <w:color w:val="000000" w:themeColor="text1"/>
          <w:lang w:val="en-US"/>
        </w:rPr>
        <w:t xml:space="preserve">AAOIFI (2010), Standards, Accounting and Auditing </w:t>
      </w:r>
      <w:r w:rsidR="009E0A07" w:rsidRPr="00FA0B69">
        <w:rPr>
          <w:rFonts w:asciiTheme="majorBidi" w:hAnsiTheme="majorBidi" w:cstheme="majorBidi"/>
          <w:color w:val="000000" w:themeColor="text1"/>
          <w:lang w:val="en-US"/>
        </w:rPr>
        <w:t>Organization</w:t>
      </w:r>
      <w:r w:rsidRPr="00FA0B69">
        <w:rPr>
          <w:rFonts w:asciiTheme="majorBidi" w:hAnsiTheme="majorBidi" w:cstheme="majorBidi"/>
          <w:color w:val="000000" w:themeColor="text1"/>
          <w:lang w:val="en-US"/>
        </w:rPr>
        <w:t xml:space="preserve"> for Islamic financial institutions, Manama, Bahrain.</w:t>
      </w:r>
      <w:proofErr w:type="gramEnd"/>
    </w:p>
    <w:p w:rsidR="00693AF8" w:rsidRPr="00FA0B69" w:rsidRDefault="00693AF8" w:rsidP="00693AF8">
      <w:pPr>
        <w:tabs>
          <w:tab w:val="right" w:pos="720"/>
        </w:tabs>
        <w:ind w:left="527" w:hanging="527"/>
        <w:jc w:val="both"/>
        <w:rPr>
          <w:color w:val="000000" w:themeColor="text1"/>
          <w:lang w:val="en-US"/>
        </w:rPr>
      </w:pPr>
      <w:r w:rsidRPr="00FA0B69">
        <w:rPr>
          <w:color w:val="000000" w:themeColor="text1"/>
          <w:lang w:val="en-US"/>
        </w:rPr>
        <w:t>Abu-</w:t>
      </w:r>
      <w:proofErr w:type="spellStart"/>
      <w:r w:rsidRPr="00FA0B69">
        <w:rPr>
          <w:color w:val="000000" w:themeColor="text1"/>
          <w:lang w:val="en-US"/>
        </w:rPr>
        <w:t>Tapanjeh</w:t>
      </w:r>
      <w:proofErr w:type="spellEnd"/>
      <w:r w:rsidRPr="00FA0B69">
        <w:rPr>
          <w:color w:val="000000" w:themeColor="text1"/>
          <w:lang w:val="en-US"/>
        </w:rPr>
        <w:t>, M., (2006), Good corporate governance mechanism and firms’ operating and financial performance: Insight from the perspective of Jord</w:t>
      </w:r>
      <w:r>
        <w:rPr>
          <w:color w:val="000000" w:themeColor="text1"/>
          <w:lang w:val="en-US"/>
        </w:rPr>
        <w:t>an</w:t>
      </w:r>
      <w:r w:rsidRPr="00FA0B69">
        <w:rPr>
          <w:color w:val="000000" w:themeColor="text1"/>
          <w:lang w:val="en-US"/>
        </w:rPr>
        <w:t>ian industrial companies,</w:t>
      </w:r>
      <w:r w:rsidR="009E0A07">
        <w:rPr>
          <w:color w:val="000000" w:themeColor="text1"/>
          <w:lang w:val="en-US"/>
        </w:rPr>
        <w:t xml:space="preserve"> </w:t>
      </w:r>
      <w:r w:rsidRPr="00FA0B69">
        <w:rPr>
          <w:i/>
          <w:iCs/>
          <w:color w:val="000000" w:themeColor="text1"/>
          <w:lang w:val="en-US"/>
        </w:rPr>
        <w:t>Journal of King Saud University</w:t>
      </w:r>
      <w:r w:rsidRPr="00FA0B69">
        <w:rPr>
          <w:color w:val="000000" w:themeColor="text1"/>
          <w:lang w:val="en-US"/>
        </w:rPr>
        <w:t>, 19, pp.101-121.</w:t>
      </w:r>
    </w:p>
    <w:p w:rsidR="00693AF8" w:rsidRPr="00FA0B69" w:rsidRDefault="00693AF8" w:rsidP="00693AF8">
      <w:pPr>
        <w:tabs>
          <w:tab w:val="right" w:pos="720"/>
        </w:tabs>
        <w:ind w:left="527" w:hanging="527"/>
        <w:jc w:val="both"/>
        <w:rPr>
          <w:color w:val="000000" w:themeColor="text1"/>
          <w:lang w:val="en-US"/>
        </w:rPr>
      </w:pPr>
      <w:r w:rsidRPr="00FA0B69">
        <w:rPr>
          <w:color w:val="000000" w:themeColor="text1"/>
          <w:lang w:val="en-US"/>
        </w:rPr>
        <w:t xml:space="preserve">Abdel Karim, A., Archer, S., (2006), On capital structure, risk sharing, and capital adequacy in Islamic banks, </w:t>
      </w:r>
      <w:r w:rsidRPr="00FA0B69">
        <w:rPr>
          <w:i/>
          <w:iCs/>
          <w:color w:val="000000" w:themeColor="text1"/>
          <w:lang w:val="en-US"/>
        </w:rPr>
        <w:t>International Journal of Theoretical and Applied Finance</w:t>
      </w:r>
      <w:r w:rsidRPr="00FA0B69">
        <w:rPr>
          <w:color w:val="000000" w:themeColor="text1"/>
          <w:lang w:val="en-US"/>
        </w:rPr>
        <w:t>, 9, pp.269-280.</w:t>
      </w:r>
    </w:p>
    <w:p w:rsidR="00693AF8" w:rsidRPr="00FA0B69" w:rsidRDefault="00693AF8" w:rsidP="00693AF8">
      <w:pPr>
        <w:tabs>
          <w:tab w:val="right" w:pos="720"/>
        </w:tabs>
        <w:ind w:left="527" w:hanging="527"/>
        <w:jc w:val="both"/>
        <w:rPr>
          <w:color w:val="000000" w:themeColor="text1"/>
          <w:lang w:val="en-US"/>
        </w:rPr>
      </w:pPr>
      <w:proofErr w:type="spellStart"/>
      <w:r w:rsidRPr="00FA0B69">
        <w:rPr>
          <w:color w:val="000000" w:themeColor="text1"/>
          <w:lang w:val="en-US"/>
        </w:rPr>
        <w:t>Aebi</w:t>
      </w:r>
      <w:proofErr w:type="spellEnd"/>
      <w:r w:rsidRPr="00FA0B69">
        <w:rPr>
          <w:color w:val="000000" w:themeColor="text1"/>
          <w:lang w:val="en-US"/>
        </w:rPr>
        <w:t xml:space="preserve">, V., </w:t>
      </w:r>
      <w:proofErr w:type="spellStart"/>
      <w:r w:rsidRPr="00FA0B69">
        <w:rPr>
          <w:color w:val="000000" w:themeColor="text1"/>
          <w:lang w:val="en-US"/>
        </w:rPr>
        <w:t>Sabato</w:t>
      </w:r>
      <w:proofErr w:type="spellEnd"/>
      <w:r w:rsidRPr="00FA0B69">
        <w:rPr>
          <w:color w:val="000000" w:themeColor="text1"/>
          <w:lang w:val="en-US"/>
        </w:rPr>
        <w:t xml:space="preserve">, G., </w:t>
      </w:r>
      <w:proofErr w:type="spellStart"/>
      <w:r w:rsidRPr="00FA0B69">
        <w:rPr>
          <w:color w:val="000000" w:themeColor="text1"/>
          <w:lang w:val="en-US"/>
        </w:rPr>
        <w:t>Schimd</w:t>
      </w:r>
      <w:proofErr w:type="spellEnd"/>
      <w:r w:rsidRPr="00FA0B69">
        <w:rPr>
          <w:color w:val="000000" w:themeColor="text1"/>
          <w:lang w:val="en-US"/>
        </w:rPr>
        <w:t xml:space="preserve">, M., (2012), Risk management, corporate governance, and bank performance in the financial crisis, </w:t>
      </w:r>
      <w:r w:rsidRPr="00FA0B69">
        <w:rPr>
          <w:i/>
          <w:iCs/>
          <w:color w:val="000000" w:themeColor="text1"/>
          <w:lang w:val="en-US"/>
        </w:rPr>
        <w:t>Journal of Banking and Finance</w:t>
      </w:r>
      <w:r w:rsidRPr="00FA0B69">
        <w:rPr>
          <w:color w:val="000000" w:themeColor="text1"/>
          <w:lang w:val="en-US"/>
        </w:rPr>
        <w:t>, 36, pp.3213-3226.</w:t>
      </w:r>
    </w:p>
    <w:p w:rsidR="00693AF8" w:rsidRPr="00FA0B69" w:rsidRDefault="00693AF8" w:rsidP="00693AF8">
      <w:pPr>
        <w:tabs>
          <w:tab w:val="right" w:pos="720"/>
        </w:tabs>
        <w:ind w:left="527" w:hanging="527"/>
        <w:jc w:val="both"/>
        <w:rPr>
          <w:color w:val="000000" w:themeColor="text1"/>
          <w:lang w:val="en-US"/>
        </w:rPr>
      </w:pPr>
      <w:r>
        <w:rPr>
          <w:color w:val="000000" w:themeColor="text1"/>
          <w:lang w:val="en-US"/>
        </w:rPr>
        <w:t>Adams</w:t>
      </w:r>
      <w:r w:rsidRPr="00FA0B69">
        <w:rPr>
          <w:color w:val="000000" w:themeColor="text1"/>
          <w:lang w:val="en-US"/>
        </w:rPr>
        <w:t xml:space="preserve">, </w:t>
      </w:r>
      <w:r>
        <w:rPr>
          <w:color w:val="000000" w:themeColor="text1"/>
          <w:lang w:val="en-US"/>
        </w:rPr>
        <w:t>R</w:t>
      </w:r>
      <w:r w:rsidRPr="00FA0B69">
        <w:rPr>
          <w:color w:val="000000" w:themeColor="text1"/>
          <w:lang w:val="en-US"/>
        </w:rPr>
        <w:t xml:space="preserve">., </w:t>
      </w:r>
      <w:r>
        <w:rPr>
          <w:color w:val="000000" w:themeColor="text1"/>
          <w:lang w:val="en-US"/>
        </w:rPr>
        <w:t>Mehran</w:t>
      </w:r>
      <w:r w:rsidRPr="00FA0B69">
        <w:rPr>
          <w:color w:val="000000" w:themeColor="text1"/>
          <w:lang w:val="en-US"/>
        </w:rPr>
        <w:t xml:space="preserve">, </w:t>
      </w:r>
      <w:r>
        <w:rPr>
          <w:color w:val="000000" w:themeColor="text1"/>
          <w:lang w:val="en-US"/>
        </w:rPr>
        <w:t>H</w:t>
      </w:r>
      <w:r w:rsidRPr="00FA0B69">
        <w:rPr>
          <w:color w:val="000000" w:themeColor="text1"/>
          <w:lang w:val="en-US"/>
        </w:rPr>
        <w:t>., (20</w:t>
      </w:r>
      <w:r>
        <w:rPr>
          <w:color w:val="000000" w:themeColor="text1"/>
          <w:lang w:val="en-US"/>
        </w:rPr>
        <w:t>12</w:t>
      </w:r>
      <w:r w:rsidRPr="00FA0B69">
        <w:rPr>
          <w:color w:val="000000" w:themeColor="text1"/>
          <w:lang w:val="en-US"/>
        </w:rPr>
        <w:t xml:space="preserve">), </w:t>
      </w:r>
      <w:r>
        <w:rPr>
          <w:color w:val="000000" w:themeColor="text1"/>
          <w:lang w:val="en-US"/>
        </w:rPr>
        <w:t>Bank board structure and performance: evidence for large bank holding companies</w:t>
      </w:r>
      <w:r w:rsidRPr="00FA0B69">
        <w:rPr>
          <w:color w:val="000000" w:themeColor="text1"/>
          <w:lang w:val="en-US"/>
        </w:rPr>
        <w:t xml:space="preserve">, </w:t>
      </w:r>
      <w:r w:rsidRPr="00FA0B69">
        <w:rPr>
          <w:i/>
          <w:iCs/>
          <w:color w:val="000000" w:themeColor="text1"/>
          <w:lang w:val="en-US"/>
        </w:rPr>
        <w:t xml:space="preserve">Journal of </w:t>
      </w:r>
      <w:r>
        <w:rPr>
          <w:i/>
          <w:iCs/>
          <w:color w:val="000000" w:themeColor="text1"/>
          <w:lang w:val="en-US"/>
        </w:rPr>
        <w:t>Financial Intermediation</w:t>
      </w:r>
      <w:r w:rsidRPr="00FA0B69">
        <w:rPr>
          <w:color w:val="000000" w:themeColor="text1"/>
          <w:lang w:val="en-US"/>
        </w:rPr>
        <w:t xml:space="preserve">, </w:t>
      </w:r>
      <w:r>
        <w:rPr>
          <w:color w:val="000000" w:themeColor="text1"/>
          <w:lang w:val="en-US"/>
        </w:rPr>
        <w:t>21</w:t>
      </w:r>
      <w:r w:rsidRPr="00FA0B69">
        <w:rPr>
          <w:color w:val="000000" w:themeColor="text1"/>
          <w:lang w:val="en-US"/>
        </w:rPr>
        <w:t>, pp.2</w:t>
      </w:r>
      <w:r>
        <w:rPr>
          <w:color w:val="000000" w:themeColor="text1"/>
          <w:lang w:val="en-US"/>
        </w:rPr>
        <w:t>43-267</w:t>
      </w:r>
      <w:r w:rsidRPr="00FA0B69">
        <w:rPr>
          <w:color w:val="000000" w:themeColor="text1"/>
          <w:lang w:val="en-US"/>
        </w:rPr>
        <w:t>.</w:t>
      </w:r>
    </w:p>
    <w:p w:rsidR="00693AF8" w:rsidRPr="00FA0B69" w:rsidRDefault="00693AF8" w:rsidP="00693AF8">
      <w:pPr>
        <w:tabs>
          <w:tab w:val="right" w:pos="720"/>
        </w:tabs>
        <w:ind w:left="527" w:hanging="527"/>
        <w:jc w:val="both"/>
        <w:rPr>
          <w:color w:val="000000" w:themeColor="text1"/>
          <w:lang w:val="en-US"/>
        </w:rPr>
      </w:pPr>
      <w:proofErr w:type="gramStart"/>
      <w:r w:rsidRPr="00FA0B69">
        <w:rPr>
          <w:color w:val="000000" w:themeColor="text1"/>
          <w:lang w:val="en-US"/>
        </w:rPr>
        <w:t>Al-</w:t>
      </w:r>
      <w:proofErr w:type="spellStart"/>
      <w:r w:rsidRPr="00FA0B69">
        <w:rPr>
          <w:color w:val="000000" w:themeColor="text1"/>
          <w:lang w:val="en-US"/>
        </w:rPr>
        <w:t>Malkawi</w:t>
      </w:r>
      <w:proofErr w:type="spellEnd"/>
      <w:r w:rsidRPr="00FA0B69">
        <w:rPr>
          <w:color w:val="000000" w:themeColor="text1"/>
          <w:lang w:val="en-US"/>
        </w:rPr>
        <w:t>, HA.</w:t>
      </w:r>
      <w:proofErr w:type="gramEnd"/>
      <w:r w:rsidRPr="00FA0B69">
        <w:rPr>
          <w:color w:val="000000" w:themeColor="text1"/>
          <w:lang w:val="en-US"/>
        </w:rPr>
        <w:t xml:space="preserve"> N., Pillai, R., Bhatti, M., (2014), Corporate governance practices in emerging markets: The case of GCC countries, </w:t>
      </w:r>
      <w:r w:rsidRPr="00FA0B69">
        <w:rPr>
          <w:i/>
          <w:iCs/>
          <w:color w:val="000000" w:themeColor="text1"/>
          <w:lang w:val="en-US"/>
        </w:rPr>
        <w:t>Economic Modeling</w:t>
      </w:r>
      <w:r w:rsidRPr="00FA0B69">
        <w:rPr>
          <w:color w:val="000000" w:themeColor="text1"/>
          <w:lang w:val="en-US"/>
        </w:rPr>
        <w:t>, 38, pp.133-141.</w:t>
      </w:r>
    </w:p>
    <w:p w:rsidR="00693AF8" w:rsidRPr="00927903" w:rsidRDefault="00693AF8" w:rsidP="00693AF8">
      <w:pPr>
        <w:autoSpaceDE w:val="0"/>
        <w:autoSpaceDN w:val="0"/>
        <w:adjustRightInd w:val="0"/>
        <w:ind w:left="527" w:hanging="527"/>
        <w:jc w:val="both"/>
        <w:rPr>
          <w:rFonts w:ascii="Quadraat-Regular" w:hAnsi="Quadraat-Regular" w:cs="Quadraat-Regular"/>
          <w:color w:val="000000"/>
          <w:lang w:val="en-US"/>
        </w:rPr>
      </w:pPr>
      <w:r w:rsidRPr="00927903">
        <w:rPr>
          <w:rFonts w:ascii="Quadraat-SmallCaps" w:hAnsi="Quadraat-SmallCaps" w:cs="Quadraat-SmallCaps"/>
          <w:color w:val="333333"/>
          <w:lang w:val="en-US"/>
        </w:rPr>
        <w:t>Bashir</w:t>
      </w:r>
      <w:r>
        <w:rPr>
          <w:rFonts w:ascii="Quadraat-SmallCaps" w:hAnsi="Quadraat-SmallCaps" w:cs="Quadraat-SmallCaps"/>
          <w:color w:val="333333"/>
          <w:lang w:val="en-US"/>
        </w:rPr>
        <w:t>,</w:t>
      </w:r>
      <w:r w:rsidRPr="00927903">
        <w:rPr>
          <w:rFonts w:ascii="Quadraat-SmallCaps" w:hAnsi="Quadraat-SmallCaps" w:cs="Quadraat-SmallCaps"/>
          <w:color w:val="333333"/>
          <w:lang w:val="en-US"/>
        </w:rPr>
        <w:t xml:space="preserve"> H.</w:t>
      </w:r>
      <w:r w:rsidRPr="00927903">
        <w:rPr>
          <w:rFonts w:ascii="Quadraat-Regular" w:hAnsi="Quadraat-Regular" w:cs="Quadraat-Regular"/>
          <w:color w:val="000000"/>
          <w:lang w:val="en-US"/>
        </w:rPr>
        <w:t>, Hassan</w:t>
      </w:r>
      <w:r>
        <w:rPr>
          <w:rFonts w:ascii="Quadraat-Regular" w:hAnsi="Quadraat-Regular" w:cs="Quadraat-Regular"/>
          <w:color w:val="000000"/>
          <w:lang w:val="en-US"/>
        </w:rPr>
        <w:t>,</w:t>
      </w:r>
      <w:r w:rsidRPr="00927903">
        <w:rPr>
          <w:rFonts w:ascii="Quadraat-Regular" w:hAnsi="Quadraat-Regular" w:cs="Quadraat-Regular"/>
          <w:color w:val="000000"/>
          <w:lang w:val="en-US"/>
        </w:rPr>
        <w:t xml:space="preserve"> M.</w:t>
      </w:r>
      <w:r>
        <w:rPr>
          <w:rFonts w:ascii="Quadraat-Regular" w:hAnsi="Quadraat-Regular" w:cs="Quadraat-Regular"/>
          <w:color w:val="000000"/>
          <w:lang w:val="en-US"/>
        </w:rPr>
        <w:t>,</w:t>
      </w:r>
      <w:r w:rsidRPr="00927903">
        <w:rPr>
          <w:rFonts w:ascii="Quadraat-Regular" w:hAnsi="Quadraat-Regular" w:cs="Quadraat-Regular"/>
          <w:color w:val="000000"/>
          <w:lang w:val="en-US"/>
        </w:rPr>
        <w:t xml:space="preserve"> (2003), Determinants of Islamic Banking Profitability, </w:t>
      </w:r>
      <w:r w:rsidRPr="00927903">
        <w:rPr>
          <w:rFonts w:ascii="Quadraat-Italic" w:hAnsi="Quadraat-Italic" w:cs="Quadraat-Italic"/>
          <w:color w:val="000000"/>
          <w:lang w:val="en-US"/>
        </w:rPr>
        <w:t xml:space="preserve">Paper presented at the Proceedings of </w:t>
      </w:r>
      <w:proofErr w:type="spellStart"/>
      <w:r w:rsidRPr="00927903">
        <w:rPr>
          <w:rFonts w:ascii="Quadraat-Italic" w:hAnsi="Quadraat-Italic" w:cs="Quadraat-Italic"/>
          <w:color w:val="000000"/>
          <w:lang w:val="en-US"/>
        </w:rPr>
        <w:t>theEconomic</w:t>
      </w:r>
      <w:proofErr w:type="spellEnd"/>
      <w:r w:rsidRPr="00927903">
        <w:rPr>
          <w:rFonts w:ascii="Quadraat-Italic" w:hAnsi="Quadraat-Italic" w:cs="Quadraat-Italic"/>
          <w:color w:val="000000"/>
          <w:lang w:val="en-US"/>
        </w:rPr>
        <w:t xml:space="preserve"> Research Forum 10th Annual Conference</w:t>
      </w:r>
      <w:r w:rsidRPr="00927903">
        <w:rPr>
          <w:rFonts w:ascii="Quadraat-Regular" w:hAnsi="Quadraat-Regular" w:cs="Quadraat-Regular"/>
          <w:color w:val="000000"/>
          <w:lang w:val="en-US"/>
        </w:rPr>
        <w:t>. Marrakech, Morocco, December 16-18.</w:t>
      </w:r>
    </w:p>
    <w:p w:rsidR="00693AF8" w:rsidRPr="00FA0B69" w:rsidRDefault="00693AF8" w:rsidP="00693AF8">
      <w:pPr>
        <w:tabs>
          <w:tab w:val="right" w:pos="720"/>
        </w:tabs>
        <w:ind w:left="527" w:hanging="527"/>
        <w:jc w:val="both"/>
        <w:rPr>
          <w:color w:val="000000" w:themeColor="text1"/>
          <w:lang w:val="en-US"/>
        </w:rPr>
      </w:pPr>
      <w:proofErr w:type="spellStart"/>
      <w:r w:rsidRPr="00FA0B69">
        <w:rPr>
          <w:color w:val="000000" w:themeColor="text1"/>
          <w:lang w:val="en-US"/>
        </w:rPr>
        <w:t>Baltagi</w:t>
      </w:r>
      <w:proofErr w:type="spellEnd"/>
      <w:r w:rsidRPr="00FA0B69">
        <w:rPr>
          <w:color w:val="000000" w:themeColor="text1"/>
          <w:lang w:val="en-US"/>
        </w:rPr>
        <w:t xml:space="preserve">, B. H., (2005), Econometric analysis of panel data, John Wiley and Sons, </w:t>
      </w:r>
      <w:proofErr w:type="spellStart"/>
      <w:r w:rsidRPr="00FA0B69">
        <w:rPr>
          <w:color w:val="000000" w:themeColor="text1"/>
          <w:lang w:val="en-US"/>
        </w:rPr>
        <w:t>Chichester</w:t>
      </w:r>
      <w:proofErr w:type="spellEnd"/>
      <w:r w:rsidRPr="00FA0B69">
        <w:rPr>
          <w:color w:val="000000" w:themeColor="text1"/>
          <w:lang w:val="en-US"/>
        </w:rPr>
        <w:t>,</w:t>
      </w:r>
    </w:p>
    <w:p w:rsidR="00693AF8" w:rsidRPr="00FA0B69" w:rsidRDefault="00693AF8" w:rsidP="00693AF8">
      <w:pPr>
        <w:tabs>
          <w:tab w:val="right" w:pos="720"/>
        </w:tabs>
        <w:ind w:left="527" w:hanging="527"/>
        <w:jc w:val="both"/>
        <w:rPr>
          <w:color w:val="000000" w:themeColor="text1"/>
          <w:lang w:val="en-US"/>
        </w:rPr>
      </w:pPr>
      <w:r w:rsidRPr="00FA0B69">
        <w:rPr>
          <w:color w:val="000000" w:themeColor="text1"/>
          <w:lang w:val="en-US"/>
        </w:rPr>
        <w:t>Al-Sadah, A. K., (2007), Corporate governance of Islamic banks, its characteristics and effects and stakeholders and the role of Islamic banks supervisors, Thesis, School of management, University of Surrey.</w:t>
      </w:r>
    </w:p>
    <w:p w:rsidR="00693AF8" w:rsidRPr="00FA0B69" w:rsidRDefault="00693AF8" w:rsidP="00693AF8">
      <w:pPr>
        <w:tabs>
          <w:tab w:val="right" w:pos="720"/>
        </w:tabs>
        <w:ind w:left="527" w:hanging="527"/>
        <w:jc w:val="both"/>
        <w:rPr>
          <w:color w:val="000000" w:themeColor="text1"/>
          <w:lang w:val="en-US"/>
        </w:rPr>
      </w:pPr>
      <w:r w:rsidRPr="00FA0B69">
        <w:rPr>
          <w:color w:val="000000" w:themeColor="text1"/>
          <w:lang w:val="en-US"/>
        </w:rPr>
        <w:t xml:space="preserve">Anderson, C., Mansi, A., </w:t>
      </w:r>
      <w:proofErr w:type="spellStart"/>
      <w:r w:rsidRPr="00FA0B69">
        <w:rPr>
          <w:color w:val="000000" w:themeColor="text1"/>
          <w:lang w:val="en-US"/>
        </w:rPr>
        <w:t>Reeb</w:t>
      </w:r>
      <w:proofErr w:type="spellEnd"/>
      <w:r w:rsidRPr="00FA0B69">
        <w:rPr>
          <w:color w:val="000000" w:themeColor="text1"/>
          <w:lang w:val="en-US"/>
        </w:rPr>
        <w:t xml:space="preserve">, M., (2004), Board characteristics, accounting report integrity, and the cost of debt, </w:t>
      </w:r>
      <w:r w:rsidRPr="00FA0B69">
        <w:rPr>
          <w:i/>
          <w:iCs/>
          <w:color w:val="000000" w:themeColor="text1"/>
          <w:lang w:val="en-US"/>
        </w:rPr>
        <w:t>Journal of Accounting and Economics</w:t>
      </w:r>
      <w:r w:rsidRPr="00FA0B69">
        <w:rPr>
          <w:color w:val="000000" w:themeColor="text1"/>
          <w:lang w:val="en-US"/>
        </w:rPr>
        <w:t>, 37, pp.315-342.</w:t>
      </w:r>
    </w:p>
    <w:p w:rsidR="00693AF8" w:rsidRPr="00FA0B69" w:rsidRDefault="00693AF8" w:rsidP="00693AF8">
      <w:pPr>
        <w:tabs>
          <w:tab w:val="right" w:pos="720"/>
        </w:tabs>
        <w:ind w:left="527" w:hanging="527"/>
        <w:jc w:val="both"/>
        <w:rPr>
          <w:color w:val="000000" w:themeColor="text1"/>
          <w:lang w:val="en-US"/>
        </w:rPr>
      </w:pPr>
      <w:proofErr w:type="spellStart"/>
      <w:r w:rsidRPr="00FA0B69">
        <w:rPr>
          <w:color w:val="000000" w:themeColor="text1"/>
          <w:lang w:val="en-US"/>
        </w:rPr>
        <w:t>Baltagi</w:t>
      </w:r>
      <w:proofErr w:type="spellEnd"/>
      <w:r w:rsidRPr="00FA0B69">
        <w:rPr>
          <w:color w:val="000000" w:themeColor="text1"/>
          <w:lang w:val="en-US"/>
        </w:rPr>
        <w:t xml:space="preserve">, B. H., (2005), Econometric analysis of panel data, John Wiley and Sons, </w:t>
      </w:r>
      <w:proofErr w:type="spellStart"/>
      <w:r w:rsidRPr="00FA0B69">
        <w:rPr>
          <w:color w:val="000000" w:themeColor="text1"/>
          <w:lang w:val="en-US"/>
        </w:rPr>
        <w:t>Chichester</w:t>
      </w:r>
      <w:proofErr w:type="spellEnd"/>
      <w:r w:rsidRPr="00FA0B69">
        <w:rPr>
          <w:color w:val="000000" w:themeColor="text1"/>
          <w:lang w:val="en-US"/>
        </w:rPr>
        <w:t>,</w:t>
      </w:r>
    </w:p>
    <w:p w:rsidR="00693AF8" w:rsidRPr="00FA0B69" w:rsidRDefault="00693AF8" w:rsidP="00693AF8">
      <w:pPr>
        <w:tabs>
          <w:tab w:val="right" w:pos="720"/>
        </w:tabs>
        <w:ind w:left="527" w:hanging="527"/>
        <w:jc w:val="both"/>
        <w:rPr>
          <w:color w:val="000000" w:themeColor="text1"/>
          <w:lang w:val="en-US"/>
        </w:rPr>
      </w:pPr>
      <w:proofErr w:type="spellStart"/>
      <w:r w:rsidRPr="00FA0B69">
        <w:rPr>
          <w:color w:val="000000" w:themeColor="text1"/>
          <w:lang w:val="en-US"/>
        </w:rPr>
        <w:t>Bebchuk</w:t>
      </w:r>
      <w:proofErr w:type="spellEnd"/>
      <w:r w:rsidRPr="00FA0B69">
        <w:rPr>
          <w:color w:val="000000" w:themeColor="text1"/>
          <w:lang w:val="en-US"/>
        </w:rPr>
        <w:t xml:space="preserve">, L., </w:t>
      </w:r>
      <w:proofErr w:type="spellStart"/>
      <w:r w:rsidRPr="00FA0B69">
        <w:rPr>
          <w:color w:val="000000" w:themeColor="text1"/>
          <w:lang w:val="en-US"/>
        </w:rPr>
        <w:t>Spamann</w:t>
      </w:r>
      <w:proofErr w:type="spellEnd"/>
      <w:r w:rsidRPr="00FA0B69">
        <w:rPr>
          <w:color w:val="000000" w:themeColor="text1"/>
          <w:lang w:val="en-US"/>
        </w:rPr>
        <w:t xml:space="preserve">, H., (2010), Regulating banker’s pay, </w:t>
      </w:r>
      <w:proofErr w:type="spellStart"/>
      <w:r w:rsidRPr="00FA0B69">
        <w:rPr>
          <w:i/>
          <w:iCs/>
          <w:color w:val="000000" w:themeColor="text1"/>
          <w:lang w:val="en-US"/>
        </w:rPr>
        <w:t>Gergetown</w:t>
      </w:r>
      <w:proofErr w:type="spellEnd"/>
      <w:r w:rsidRPr="00FA0B69">
        <w:rPr>
          <w:i/>
          <w:iCs/>
          <w:color w:val="000000" w:themeColor="text1"/>
          <w:lang w:val="en-US"/>
        </w:rPr>
        <w:t xml:space="preserve"> Law Review</w:t>
      </w:r>
      <w:r w:rsidRPr="00FA0B69">
        <w:rPr>
          <w:color w:val="000000" w:themeColor="text1"/>
          <w:lang w:val="en-US"/>
        </w:rPr>
        <w:t>, 98, pp.247-287.</w:t>
      </w:r>
    </w:p>
    <w:p w:rsidR="00693AF8" w:rsidRPr="00FA0B69" w:rsidRDefault="00693AF8" w:rsidP="00693AF8">
      <w:pPr>
        <w:tabs>
          <w:tab w:val="right" w:pos="720"/>
        </w:tabs>
        <w:ind w:left="527" w:hanging="527"/>
        <w:jc w:val="both"/>
        <w:rPr>
          <w:color w:val="000000" w:themeColor="text1"/>
          <w:lang w:val="en-US"/>
        </w:rPr>
      </w:pPr>
      <w:proofErr w:type="spellStart"/>
      <w:r w:rsidRPr="00FA0B69">
        <w:rPr>
          <w:color w:val="000000" w:themeColor="text1"/>
          <w:lang w:val="en-US"/>
        </w:rPr>
        <w:t>Beltratti</w:t>
      </w:r>
      <w:proofErr w:type="spellEnd"/>
      <w:r w:rsidRPr="00FA0B69">
        <w:rPr>
          <w:color w:val="000000" w:themeColor="text1"/>
          <w:lang w:val="en-US"/>
        </w:rPr>
        <w:t xml:space="preserve">, A., </w:t>
      </w:r>
      <w:proofErr w:type="spellStart"/>
      <w:r w:rsidRPr="00FA0B69">
        <w:rPr>
          <w:color w:val="000000" w:themeColor="text1"/>
          <w:lang w:val="en-US"/>
        </w:rPr>
        <w:t>Stulz</w:t>
      </w:r>
      <w:proofErr w:type="spellEnd"/>
      <w:r w:rsidRPr="00FA0B69">
        <w:rPr>
          <w:color w:val="000000" w:themeColor="text1"/>
          <w:lang w:val="en-US"/>
        </w:rPr>
        <w:t xml:space="preserve">, R. M., (2012), </w:t>
      </w:r>
      <w:proofErr w:type="gramStart"/>
      <w:r w:rsidRPr="00FA0B69">
        <w:rPr>
          <w:color w:val="000000" w:themeColor="text1"/>
          <w:lang w:val="en-US"/>
        </w:rPr>
        <w:t>The</w:t>
      </w:r>
      <w:proofErr w:type="gramEnd"/>
      <w:r w:rsidRPr="00FA0B69">
        <w:rPr>
          <w:color w:val="000000" w:themeColor="text1"/>
          <w:lang w:val="en-US"/>
        </w:rPr>
        <w:t xml:space="preserve"> credit crisis around the globe: why did some banks perform better, </w:t>
      </w:r>
      <w:r w:rsidRPr="00FA0B69">
        <w:rPr>
          <w:i/>
          <w:iCs/>
          <w:color w:val="000000" w:themeColor="text1"/>
          <w:lang w:val="en-US"/>
        </w:rPr>
        <w:t>Journal of Financial Economics</w:t>
      </w:r>
      <w:r w:rsidRPr="00FA0B69">
        <w:rPr>
          <w:color w:val="000000" w:themeColor="text1"/>
          <w:lang w:val="en-US"/>
        </w:rPr>
        <w:t>, 1105, pp.1-17.</w:t>
      </w:r>
    </w:p>
    <w:p w:rsidR="00693AF8" w:rsidRPr="00FA0B69" w:rsidRDefault="00693AF8" w:rsidP="00693AF8">
      <w:pPr>
        <w:tabs>
          <w:tab w:val="right" w:pos="720"/>
        </w:tabs>
        <w:ind w:left="527" w:hanging="527"/>
        <w:jc w:val="both"/>
        <w:rPr>
          <w:color w:val="000000" w:themeColor="text1"/>
          <w:lang w:val="en-US"/>
        </w:rPr>
      </w:pPr>
      <w:r w:rsidRPr="00FA0B69">
        <w:rPr>
          <w:color w:val="000000" w:themeColor="text1"/>
          <w:lang w:val="en-US"/>
        </w:rPr>
        <w:t xml:space="preserve">Ben </w:t>
      </w:r>
      <w:proofErr w:type="spellStart"/>
      <w:r w:rsidRPr="00FA0B69">
        <w:rPr>
          <w:color w:val="000000" w:themeColor="text1"/>
          <w:lang w:val="en-US"/>
        </w:rPr>
        <w:t>Naceur</w:t>
      </w:r>
      <w:proofErr w:type="spellEnd"/>
      <w:r w:rsidRPr="00FA0B69">
        <w:rPr>
          <w:color w:val="000000" w:themeColor="text1"/>
          <w:lang w:val="en-US"/>
        </w:rPr>
        <w:t xml:space="preserve">, S., </w:t>
      </w:r>
      <w:proofErr w:type="spellStart"/>
      <w:r w:rsidRPr="00FA0B69">
        <w:rPr>
          <w:color w:val="000000" w:themeColor="text1"/>
          <w:lang w:val="en-US"/>
        </w:rPr>
        <w:t>Omran</w:t>
      </w:r>
      <w:proofErr w:type="spellEnd"/>
      <w:r w:rsidRPr="00FA0B69">
        <w:rPr>
          <w:color w:val="000000" w:themeColor="text1"/>
          <w:lang w:val="en-US"/>
        </w:rPr>
        <w:t xml:space="preserve">, M., (2011), </w:t>
      </w:r>
      <w:proofErr w:type="gramStart"/>
      <w:r w:rsidRPr="00FA0B69">
        <w:rPr>
          <w:color w:val="000000" w:themeColor="text1"/>
          <w:lang w:val="en-US"/>
        </w:rPr>
        <w:t>The</w:t>
      </w:r>
      <w:proofErr w:type="gramEnd"/>
      <w:r w:rsidRPr="00FA0B69">
        <w:rPr>
          <w:color w:val="000000" w:themeColor="text1"/>
          <w:lang w:val="en-US"/>
        </w:rPr>
        <w:t xml:space="preserve"> effects of bank regulations, competition, and financial reforms on banks’ performance, </w:t>
      </w:r>
      <w:r w:rsidRPr="00FA0B69">
        <w:rPr>
          <w:i/>
          <w:iCs/>
          <w:color w:val="000000" w:themeColor="text1"/>
          <w:lang w:val="en-US"/>
        </w:rPr>
        <w:t>Emerging Markets Review</w:t>
      </w:r>
      <w:r w:rsidRPr="00FA0B69">
        <w:rPr>
          <w:color w:val="000000" w:themeColor="text1"/>
          <w:lang w:val="en-US"/>
        </w:rPr>
        <w:t>, 12, pp.1-20.</w:t>
      </w:r>
    </w:p>
    <w:p w:rsidR="00693AF8" w:rsidRPr="00FA0B69" w:rsidRDefault="00693AF8" w:rsidP="00693AF8">
      <w:pPr>
        <w:autoSpaceDE w:val="0"/>
        <w:autoSpaceDN w:val="0"/>
        <w:adjustRightInd w:val="0"/>
        <w:ind w:left="527" w:hanging="527"/>
        <w:jc w:val="both"/>
        <w:rPr>
          <w:rFonts w:ascii="AdvPTimes" w:hAnsi="AdvPTimes" w:cs="AdvPTimes"/>
          <w:color w:val="000000" w:themeColor="text1"/>
          <w:lang w:val="en-US"/>
        </w:rPr>
      </w:pPr>
      <w:proofErr w:type="spellStart"/>
      <w:r w:rsidRPr="00FA0B69">
        <w:rPr>
          <w:rFonts w:ascii="AdvPTimes" w:hAnsi="AdvPTimes" w:cs="AdvPTimes"/>
          <w:color w:val="000000" w:themeColor="text1"/>
          <w:lang w:val="en-US"/>
        </w:rPr>
        <w:t>Beiner</w:t>
      </w:r>
      <w:proofErr w:type="spellEnd"/>
      <w:r w:rsidRPr="00FA0B69">
        <w:rPr>
          <w:rFonts w:ascii="AdvPTimes" w:hAnsi="AdvPTimes" w:cs="AdvPTimes"/>
          <w:color w:val="000000" w:themeColor="text1"/>
          <w:lang w:val="en-US"/>
        </w:rPr>
        <w:t xml:space="preserve">, S., </w:t>
      </w:r>
      <w:proofErr w:type="spellStart"/>
      <w:r w:rsidRPr="00FA0B69">
        <w:rPr>
          <w:rFonts w:ascii="AdvPTimes" w:hAnsi="AdvPTimes" w:cs="AdvPTimes"/>
          <w:color w:val="000000" w:themeColor="text1"/>
          <w:lang w:val="en-US"/>
        </w:rPr>
        <w:t>Drobetz</w:t>
      </w:r>
      <w:proofErr w:type="spellEnd"/>
      <w:r w:rsidRPr="00FA0B69">
        <w:rPr>
          <w:rFonts w:ascii="AdvPTimes" w:hAnsi="AdvPTimes" w:cs="AdvPTimes"/>
          <w:color w:val="000000" w:themeColor="text1"/>
          <w:lang w:val="en-US"/>
        </w:rPr>
        <w:t xml:space="preserve">, W., </w:t>
      </w:r>
      <w:proofErr w:type="spellStart"/>
      <w:r w:rsidRPr="00FA0B69">
        <w:rPr>
          <w:rFonts w:ascii="AdvPTimes" w:hAnsi="AdvPTimes" w:cs="AdvPTimes"/>
          <w:color w:val="000000" w:themeColor="text1"/>
          <w:lang w:val="en-US"/>
        </w:rPr>
        <w:t>Schmid</w:t>
      </w:r>
      <w:proofErr w:type="spellEnd"/>
      <w:r w:rsidRPr="00FA0B69">
        <w:rPr>
          <w:rFonts w:ascii="AdvPTimes" w:hAnsi="AdvPTimes" w:cs="AdvPTimes"/>
          <w:color w:val="000000" w:themeColor="text1"/>
          <w:lang w:val="en-US"/>
        </w:rPr>
        <w:t xml:space="preserve">, M. M., &amp; Zimmermann, H. (2006), </w:t>
      </w:r>
      <w:proofErr w:type="gramStart"/>
      <w:r w:rsidRPr="00FA0B69">
        <w:rPr>
          <w:rFonts w:ascii="AdvPTimes" w:hAnsi="AdvPTimes" w:cs="AdvPTimes"/>
          <w:color w:val="000000" w:themeColor="text1"/>
          <w:lang w:val="en-US"/>
        </w:rPr>
        <w:t>An</w:t>
      </w:r>
      <w:proofErr w:type="gramEnd"/>
      <w:r w:rsidRPr="00FA0B69">
        <w:rPr>
          <w:rFonts w:ascii="AdvPTimes" w:hAnsi="AdvPTimes" w:cs="AdvPTimes"/>
          <w:color w:val="000000" w:themeColor="text1"/>
          <w:lang w:val="en-US"/>
        </w:rPr>
        <w:t xml:space="preserve"> integrated framework </w:t>
      </w:r>
      <w:proofErr w:type="spellStart"/>
      <w:r w:rsidRPr="00FA0B69">
        <w:rPr>
          <w:rFonts w:ascii="AdvPTimes" w:hAnsi="AdvPTimes" w:cs="AdvPTimes"/>
          <w:color w:val="000000" w:themeColor="text1"/>
          <w:lang w:val="en-US"/>
        </w:rPr>
        <w:t>ofcorporate</w:t>
      </w:r>
      <w:proofErr w:type="spellEnd"/>
      <w:r w:rsidRPr="00FA0B69">
        <w:rPr>
          <w:rFonts w:ascii="AdvPTimes" w:hAnsi="AdvPTimes" w:cs="AdvPTimes"/>
          <w:color w:val="000000" w:themeColor="text1"/>
          <w:lang w:val="en-US"/>
        </w:rPr>
        <w:t xml:space="preserve"> governance and firm valuation,</w:t>
      </w:r>
      <w:r w:rsidR="009E0A07">
        <w:rPr>
          <w:rFonts w:ascii="AdvPTimes" w:hAnsi="AdvPTimes" w:cs="AdvPTimes"/>
          <w:color w:val="000000" w:themeColor="text1"/>
          <w:lang w:val="en-US"/>
        </w:rPr>
        <w:t xml:space="preserve"> </w:t>
      </w:r>
      <w:r w:rsidRPr="00FA0B69">
        <w:rPr>
          <w:rFonts w:ascii="AdvPTimesI" w:hAnsi="AdvPTimesI" w:cs="AdvPTimesI"/>
          <w:i/>
          <w:iCs/>
          <w:color w:val="000000" w:themeColor="text1"/>
          <w:lang w:val="en-US"/>
        </w:rPr>
        <w:t>European Financial Management</w:t>
      </w:r>
      <w:r w:rsidRPr="00FA0B69">
        <w:rPr>
          <w:rFonts w:ascii="AdvPTimesI" w:hAnsi="AdvPTimesI" w:cs="AdvPTimesI"/>
          <w:color w:val="000000" w:themeColor="text1"/>
          <w:lang w:val="en-US"/>
        </w:rPr>
        <w:t>, 2</w:t>
      </w:r>
      <w:r w:rsidRPr="00FA0B69">
        <w:rPr>
          <w:rFonts w:ascii="AdvPTimes" w:hAnsi="AdvPTimes" w:cs="AdvPTimes"/>
          <w:color w:val="000000" w:themeColor="text1"/>
          <w:lang w:val="en-US"/>
        </w:rPr>
        <w:t>, pp.249–283.</w:t>
      </w:r>
    </w:p>
    <w:p w:rsidR="00693AF8" w:rsidRPr="00FA0B69" w:rsidRDefault="00693AF8" w:rsidP="00693AF8">
      <w:pPr>
        <w:tabs>
          <w:tab w:val="right" w:pos="720"/>
        </w:tabs>
        <w:ind w:left="527" w:hanging="527"/>
        <w:jc w:val="both"/>
        <w:rPr>
          <w:color w:val="000000" w:themeColor="text1"/>
          <w:lang w:val="en-US"/>
        </w:rPr>
      </w:pPr>
      <w:proofErr w:type="spellStart"/>
      <w:proofErr w:type="gramStart"/>
      <w:r w:rsidRPr="00FA0B69">
        <w:rPr>
          <w:color w:val="000000" w:themeColor="text1"/>
          <w:lang w:val="en-US"/>
        </w:rPr>
        <w:t>Bhagat</w:t>
      </w:r>
      <w:proofErr w:type="spellEnd"/>
      <w:r w:rsidRPr="00FA0B69">
        <w:rPr>
          <w:color w:val="000000" w:themeColor="text1"/>
          <w:lang w:val="en-US"/>
        </w:rPr>
        <w:t xml:space="preserve">, S., Bolton, B., (2008), Corporate governance and firm performance, </w:t>
      </w:r>
      <w:r w:rsidRPr="00FA0B69">
        <w:rPr>
          <w:i/>
          <w:iCs/>
          <w:color w:val="000000" w:themeColor="text1"/>
          <w:lang w:val="en-US"/>
        </w:rPr>
        <w:t>Journal of Corporate Finance</w:t>
      </w:r>
      <w:r w:rsidRPr="00FA0B69">
        <w:rPr>
          <w:color w:val="000000" w:themeColor="text1"/>
          <w:lang w:val="en-US"/>
        </w:rPr>
        <w:t>, 14, pp.257-273.</w:t>
      </w:r>
      <w:proofErr w:type="gramEnd"/>
    </w:p>
    <w:p w:rsidR="00693AF8" w:rsidRPr="00FA0B69" w:rsidRDefault="00693AF8" w:rsidP="00693AF8">
      <w:pPr>
        <w:tabs>
          <w:tab w:val="right" w:pos="720"/>
        </w:tabs>
        <w:ind w:left="527" w:hanging="527"/>
        <w:jc w:val="both"/>
        <w:rPr>
          <w:color w:val="000000" w:themeColor="text1"/>
          <w:lang w:val="en-US"/>
        </w:rPr>
      </w:pPr>
      <w:proofErr w:type="spellStart"/>
      <w:r w:rsidRPr="00FA0B69">
        <w:rPr>
          <w:color w:val="000000" w:themeColor="text1"/>
          <w:lang w:val="en-US"/>
        </w:rPr>
        <w:t>Bhagat</w:t>
      </w:r>
      <w:proofErr w:type="spellEnd"/>
      <w:r w:rsidRPr="00FA0B69">
        <w:rPr>
          <w:color w:val="000000" w:themeColor="text1"/>
          <w:lang w:val="en-US"/>
        </w:rPr>
        <w:t xml:space="preserve">, S., Bolton, B., Romano, R., (2008), </w:t>
      </w:r>
      <w:proofErr w:type="gramStart"/>
      <w:r w:rsidRPr="00FA0B69">
        <w:rPr>
          <w:color w:val="000000" w:themeColor="text1"/>
          <w:lang w:val="en-US"/>
        </w:rPr>
        <w:t>The</w:t>
      </w:r>
      <w:proofErr w:type="gramEnd"/>
      <w:r w:rsidRPr="00FA0B69">
        <w:rPr>
          <w:color w:val="000000" w:themeColor="text1"/>
          <w:lang w:val="en-US"/>
        </w:rPr>
        <w:t xml:space="preserve"> promise and peril of corporate governance indices, </w:t>
      </w:r>
      <w:r w:rsidRPr="00FA0B69">
        <w:rPr>
          <w:i/>
          <w:iCs/>
          <w:color w:val="000000" w:themeColor="text1"/>
          <w:lang w:val="en-US"/>
        </w:rPr>
        <w:t>Columbia Law Review</w:t>
      </w:r>
      <w:r w:rsidRPr="00FA0B69">
        <w:rPr>
          <w:color w:val="000000" w:themeColor="text1"/>
          <w:lang w:val="en-US"/>
        </w:rPr>
        <w:t>, 108, pp.1803-1882.</w:t>
      </w:r>
    </w:p>
    <w:p w:rsidR="00693AF8" w:rsidRPr="00FA0B69" w:rsidRDefault="00693AF8" w:rsidP="00693AF8">
      <w:pPr>
        <w:tabs>
          <w:tab w:val="right" w:pos="720"/>
        </w:tabs>
        <w:ind w:left="527" w:hanging="527"/>
        <w:jc w:val="both"/>
        <w:rPr>
          <w:color w:val="000000" w:themeColor="text1"/>
          <w:lang w:val="en-US"/>
        </w:rPr>
      </w:pPr>
      <w:r w:rsidRPr="00FA0B69">
        <w:rPr>
          <w:color w:val="000000" w:themeColor="text1"/>
          <w:lang w:val="en-US"/>
        </w:rPr>
        <w:t xml:space="preserve">Black, B., Jang, H., Kim, W., (2006), Predicting firms’ corporate governance choices: Evidence from Korea, </w:t>
      </w:r>
      <w:r w:rsidRPr="00FA0B69">
        <w:rPr>
          <w:i/>
          <w:iCs/>
          <w:color w:val="000000" w:themeColor="text1"/>
          <w:lang w:val="en-US"/>
        </w:rPr>
        <w:t>Journal of Corporate Finance</w:t>
      </w:r>
      <w:r w:rsidRPr="00FA0B69">
        <w:rPr>
          <w:color w:val="000000" w:themeColor="text1"/>
          <w:lang w:val="en-US"/>
        </w:rPr>
        <w:t>, 12, pp.660-691.</w:t>
      </w:r>
    </w:p>
    <w:p w:rsidR="00693AF8" w:rsidRPr="00FA0B69" w:rsidRDefault="00693AF8" w:rsidP="00693AF8">
      <w:pPr>
        <w:tabs>
          <w:tab w:val="right" w:pos="720"/>
        </w:tabs>
        <w:ind w:left="527" w:hanging="527"/>
        <w:jc w:val="both"/>
        <w:rPr>
          <w:color w:val="000000" w:themeColor="text1"/>
          <w:lang w:val="en-US"/>
        </w:rPr>
      </w:pPr>
      <w:r w:rsidRPr="00FA0B69">
        <w:rPr>
          <w:color w:val="000000" w:themeColor="text1"/>
          <w:lang w:val="en-US"/>
        </w:rPr>
        <w:t xml:space="preserve">Blair, M., (1995), Ownership and control: Rethinking corporate governance for the twenty-first century, </w:t>
      </w:r>
      <w:r w:rsidRPr="00FA0B69">
        <w:rPr>
          <w:i/>
          <w:iCs/>
          <w:color w:val="000000" w:themeColor="text1"/>
          <w:lang w:val="en-US"/>
        </w:rPr>
        <w:t>Working Paper</w:t>
      </w:r>
      <w:r w:rsidRPr="00FA0B69">
        <w:rPr>
          <w:color w:val="000000" w:themeColor="text1"/>
          <w:lang w:val="en-US"/>
        </w:rPr>
        <w:t>, Brookings Institution Press, Washington.</w:t>
      </w:r>
    </w:p>
    <w:p w:rsidR="00693AF8" w:rsidRPr="00FA0B69" w:rsidRDefault="00693AF8" w:rsidP="00693AF8">
      <w:pPr>
        <w:autoSpaceDE w:val="0"/>
        <w:autoSpaceDN w:val="0"/>
        <w:adjustRightInd w:val="0"/>
        <w:ind w:left="527" w:hanging="527"/>
        <w:jc w:val="both"/>
        <w:rPr>
          <w:rFonts w:ascii="AdvPTimes" w:hAnsi="AdvPTimes" w:cs="AdvPTimes"/>
          <w:color w:val="000000" w:themeColor="text1"/>
          <w:lang w:val="en-US"/>
        </w:rPr>
      </w:pPr>
      <w:proofErr w:type="gramStart"/>
      <w:r w:rsidRPr="00FA0B69">
        <w:rPr>
          <w:color w:val="000000" w:themeColor="text1"/>
          <w:lang w:val="en-US"/>
        </w:rPr>
        <w:t xml:space="preserve">Brown, </w:t>
      </w:r>
      <w:r>
        <w:rPr>
          <w:color w:val="000000" w:themeColor="text1"/>
          <w:lang w:val="en-US"/>
        </w:rPr>
        <w:t xml:space="preserve">L., </w:t>
      </w:r>
      <w:proofErr w:type="spellStart"/>
      <w:r>
        <w:rPr>
          <w:color w:val="000000" w:themeColor="text1"/>
          <w:lang w:val="en-US"/>
        </w:rPr>
        <w:t>C</w:t>
      </w:r>
      <w:r w:rsidRPr="00FA0B69">
        <w:rPr>
          <w:color w:val="000000" w:themeColor="text1"/>
          <w:lang w:val="en-US"/>
        </w:rPr>
        <w:t>aylor</w:t>
      </w:r>
      <w:proofErr w:type="spellEnd"/>
      <w:r w:rsidRPr="00FA0B69">
        <w:rPr>
          <w:color w:val="000000" w:themeColor="text1"/>
          <w:lang w:val="en-US"/>
        </w:rPr>
        <w:t xml:space="preserve">, </w:t>
      </w:r>
      <w:r>
        <w:rPr>
          <w:color w:val="000000" w:themeColor="text1"/>
          <w:lang w:val="en-US"/>
        </w:rPr>
        <w:t>M</w:t>
      </w:r>
      <w:r w:rsidRPr="00FA0B69">
        <w:rPr>
          <w:color w:val="000000" w:themeColor="text1"/>
          <w:lang w:val="en-US"/>
        </w:rPr>
        <w:t>., (200</w:t>
      </w:r>
      <w:r>
        <w:rPr>
          <w:color w:val="000000" w:themeColor="text1"/>
          <w:lang w:val="en-US"/>
        </w:rPr>
        <w:t>6</w:t>
      </w:r>
      <w:r w:rsidRPr="00FA0B69">
        <w:rPr>
          <w:color w:val="000000" w:themeColor="text1"/>
          <w:lang w:val="en-US"/>
        </w:rPr>
        <w:t xml:space="preserve">), Corporate governance and firm performance, </w:t>
      </w:r>
      <w:r>
        <w:rPr>
          <w:rFonts w:ascii="AdvPTimesI" w:hAnsi="AdvPTimesI" w:cs="AdvPTimesI"/>
          <w:i/>
          <w:iCs/>
          <w:color w:val="000000" w:themeColor="text1"/>
          <w:lang w:val="en-US"/>
        </w:rPr>
        <w:t>Journal of Accounting and Public Policy</w:t>
      </w:r>
      <w:r w:rsidRPr="00FA0B69">
        <w:rPr>
          <w:rFonts w:ascii="AdvPTimesI" w:hAnsi="AdvPTimesI" w:cs="AdvPTimesI"/>
          <w:color w:val="000000" w:themeColor="text1"/>
          <w:lang w:val="en-US"/>
        </w:rPr>
        <w:t xml:space="preserve">, </w:t>
      </w:r>
      <w:r>
        <w:rPr>
          <w:rFonts w:ascii="AdvPTimesI" w:hAnsi="AdvPTimesI" w:cs="AdvPTimesI"/>
          <w:color w:val="000000" w:themeColor="text1"/>
          <w:lang w:val="en-US"/>
        </w:rPr>
        <w:t>25</w:t>
      </w:r>
      <w:r w:rsidRPr="00FA0B69">
        <w:rPr>
          <w:rFonts w:ascii="AdvPTimes" w:hAnsi="AdvPTimes" w:cs="AdvPTimes"/>
          <w:color w:val="000000" w:themeColor="text1"/>
          <w:lang w:val="en-US"/>
        </w:rPr>
        <w:t>, pp.</w:t>
      </w:r>
      <w:r>
        <w:rPr>
          <w:rFonts w:ascii="AdvPTimes" w:hAnsi="AdvPTimes" w:cs="AdvPTimes"/>
          <w:color w:val="000000" w:themeColor="text1"/>
          <w:lang w:val="en-US"/>
        </w:rPr>
        <w:t>409–434</w:t>
      </w:r>
      <w:r w:rsidRPr="00FA0B69">
        <w:rPr>
          <w:rFonts w:ascii="AdvPTimes" w:hAnsi="AdvPTimes" w:cs="AdvPTimes"/>
          <w:color w:val="000000" w:themeColor="text1"/>
          <w:lang w:val="en-US"/>
        </w:rPr>
        <w:t>.</w:t>
      </w:r>
      <w:proofErr w:type="gramEnd"/>
    </w:p>
    <w:p w:rsidR="00693AF8" w:rsidRPr="00FA0B69" w:rsidRDefault="00693AF8" w:rsidP="00693AF8">
      <w:pPr>
        <w:tabs>
          <w:tab w:val="right" w:pos="720"/>
        </w:tabs>
        <w:ind w:left="527" w:hanging="527"/>
        <w:jc w:val="both"/>
        <w:rPr>
          <w:rFonts w:ascii="AdvPTimes" w:hAnsi="AdvPTimes" w:cs="AdvPTimes"/>
          <w:color w:val="000000" w:themeColor="text1"/>
          <w:lang w:val="en-US"/>
        </w:rPr>
      </w:pPr>
      <w:r w:rsidRPr="00FA0B69">
        <w:rPr>
          <w:rFonts w:ascii="AdvPTimes" w:hAnsi="AdvPTimes" w:cs="AdvPTimes"/>
          <w:color w:val="000000" w:themeColor="text1"/>
          <w:lang w:val="en-US"/>
        </w:rPr>
        <w:lastRenderedPageBreak/>
        <w:t xml:space="preserve">Byun, </w:t>
      </w:r>
      <w:proofErr w:type="gramStart"/>
      <w:r w:rsidRPr="00FA0B69">
        <w:rPr>
          <w:rFonts w:ascii="AdvPTimes" w:hAnsi="AdvPTimes" w:cs="AdvPTimes"/>
          <w:color w:val="000000" w:themeColor="text1"/>
          <w:lang w:val="en-US"/>
        </w:rPr>
        <w:t>HY.,</w:t>
      </w:r>
      <w:proofErr w:type="gramEnd"/>
      <w:r w:rsidRPr="00FA0B69">
        <w:rPr>
          <w:rFonts w:ascii="AdvPTimes" w:hAnsi="AdvPTimes" w:cs="AdvPTimes"/>
          <w:color w:val="000000" w:themeColor="text1"/>
          <w:lang w:val="en-US"/>
        </w:rPr>
        <w:t xml:space="preserve"> </w:t>
      </w:r>
      <w:proofErr w:type="spellStart"/>
      <w:r w:rsidRPr="00FA0B69">
        <w:rPr>
          <w:rFonts w:ascii="AdvPTimes" w:hAnsi="AdvPTimes" w:cs="AdvPTimes"/>
          <w:color w:val="000000" w:themeColor="text1"/>
          <w:lang w:val="en-US"/>
        </w:rPr>
        <w:t>Kwak</w:t>
      </w:r>
      <w:proofErr w:type="spellEnd"/>
      <w:r w:rsidRPr="00FA0B69">
        <w:rPr>
          <w:rFonts w:ascii="AdvPTimes" w:hAnsi="AdvPTimes" w:cs="AdvPTimes"/>
          <w:color w:val="000000" w:themeColor="text1"/>
          <w:lang w:val="en-US"/>
        </w:rPr>
        <w:t xml:space="preserve">, SK., Hwang, LS., (2008). The implied cost of equity capital and corporate governance practices, </w:t>
      </w:r>
      <w:r w:rsidRPr="00FA0B69">
        <w:rPr>
          <w:rFonts w:ascii="AdvPTimesI" w:hAnsi="AdvPTimesI" w:cs="AdvPTimesI"/>
          <w:i/>
          <w:iCs/>
          <w:color w:val="000000" w:themeColor="text1"/>
          <w:lang w:val="en-US"/>
        </w:rPr>
        <w:t>Asian-Pacific Journal of Finance Studies</w:t>
      </w:r>
      <w:r w:rsidRPr="00FA0B69">
        <w:rPr>
          <w:rFonts w:ascii="AdvPTimesI" w:hAnsi="AdvPTimesI" w:cs="AdvPTimesI"/>
          <w:color w:val="000000" w:themeColor="text1"/>
          <w:lang w:val="en-US"/>
        </w:rPr>
        <w:t>, 37</w:t>
      </w:r>
      <w:r w:rsidRPr="00FA0B69">
        <w:rPr>
          <w:rFonts w:ascii="AdvPTimes" w:hAnsi="AdvPTimes" w:cs="AdvPTimes"/>
          <w:color w:val="000000" w:themeColor="text1"/>
          <w:lang w:val="en-US"/>
        </w:rPr>
        <w:t>, pp.139–184.</w:t>
      </w:r>
    </w:p>
    <w:p w:rsidR="00693AF8" w:rsidRPr="00FA0B69" w:rsidRDefault="00693AF8" w:rsidP="00693AF8">
      <w:pPr>
        <w:tabs>
          <w:tab w:val="right" w:pos="720"/>
        </w:tabs>
        <w:ind w:left="527" w:hanging="527"/>
        <w:jc w:val="both"/>
        <w:rPr>
          <w:color w:val="000000" w:themeColor="text1"/>
          <w:lang w:val="en-US"/>
        </w:rPr>
      </w:pPr>
      <w:proofErr w:type="spellStart"/>
      <w:r w:rsidRPr="00FA0B69">
        <w:rPr>
          <w:color w:val="000000" w:themeColor="text1"/>
          <w:lang w:val="en-US"/>
        </w:rPr>
        <w:t>Chahine</w:t>
      </w:r>
      <w:proofErr w:type="spellEnd"/>
      <w:r w:rsidRPr="00FA0B69">
        <w:rPr>
          <w:color w:val="000000" w:themeColor="text1"/>
          <w:lang w:val="en-US"/>
        </w:rPr>
        <w:t xml:space="preserve">, S., </w:t>
      </w:r>
      <w:proofErr w:type="spellStart"/>
      <w:r w:rsidRPr="00FA0B69">
        <w:rPr>
          <w:color w:val="000000" w:themeColor="text1"/>
          <w:lang w:val="en-US"/>
        </w:rPr>
        <w:t>Safieddine</w:t>
      </w:r>
      <w:proofErr w:type="spellEnd"/>
      <w:r w:rsidRPr="00FA0B69">
        <w:rPr>
          <w:color w:val="000000" w:themeColor="text1"/>
          <w:lang w:val="en-US"/>
        </w:rPr>
        <w:t xml:space="preserve">, A., (2011), </w:t>
      </w:r>
      <w:proofErr w:type="gramStart"/>
      <w:r w:rsidRPr="00FA0B69">
        <w:rPr>
          <w:color w:val="000000" w:themeColor="text1"/>
          <w:lang w:val="en-US"/>
        </w:rPr>
        <w:t>Is</w:t>
      </w:r>
      <w:proofErr w:type="gramEnd"/>
      <w:r w:rsidRPr="00FA0B69">
        <w:rPr>
          <w:color w:val="000000" w:themeColor="text1"/>
          <w:lang w:val="en-US"/>
        </w:rPr>
        <w:t xml:space="preserve"> corporate governance different for the Lebanese Banking system, </w:t>
      </w:r>
      <w:r w:rsidRPr="00FA0B69">
        <w:rPr>
          <w:i/>
          <w:iCs/>
          <w:color w:val="000000" w:themeColor="text1"/>
          <w:lang w:val="en-US"/>
        </w:rPr>
        <w:t>Journal of Management Governance</w:t>
      </w:r>
      <w:r w:rsidRPr="00FA0B69">
        <w:rPr>
          <w:color w:val="000000" w:themeColor="text1"/>
          <w:lang w:val="en-US"/>
        </w:rPr>
        <w:t>, 15, pp.207-226.</w:t>
      </w:r>
    </w:p>
    <w:p w:rsidR="00693AF8" w:rsidRPr="00FA0B69" w:rsidRDefault="00693AF8" w:rsidP="00693AF8">
      <w:pPr>
        <w:autoSpaceDE w:val="0"/>
        <w:autoSpaceDN w:val="0"/>
        <w:adjustRightInd w:val="0"/>
        <w:ind w:left="527" w:hanging="527"/>
        <w:jc w:val="both"/>
        <w:rPr>
          <w:rFonts w:ascii="AdvPTimes" w:hAnsi="AdvPTimes" w:cs="AdvPTimes"/>
          <w:color w:val="000000" w:themeColor="text1"/>
          <w:lang w:val="en-US"/>
        </w:rPr>
      </w:pPr>
      <w:proofErr w:type="gramStart"/>
      <w:r w:rsidRPr="00FA0B69">
        <w:rPr>
          <w:rFonts w:ascii="AdvPTimes" w:hAnsi="AdvPTimes" w:cs="AdvPTimes"/>
          <w:color w:val="000000" w:themeColor="text1"/>
          <w:lang w:val="en-US"/>
        </w:rPr>
        <w:t>Chang, C-S., Yu, S-W., Hung, C-H., (2014).</w:t>
      </w:r>
      <w:proofErr w:type="gramEnd"/>
      <w:r w:rsidRPr="00FA0B69">
        <w:rPr>
          <w:rFonts w:ascii="AdvPTimes" w:hAnsi="AdvPTimes" w:cs="AdvPTimes"/>
          <w:color w:val="000000" w:themeColor="text1"/>
          <w:lang w:val="en-US"/>
        </w:rPr>
        <w:t xml:space="preserve"> Firm risk and performance: The role of corporate governance, </w:t>
      </w:r>
      <w:r w:rsidRPr="00FA0B69">
        <w:rPr>
          <w:rFonts w:ascii="AdvPTimesI" w:hAnsi="AdvPTimesI" w:cs="AdvPTimesI"/>
          <w:i/>
          <w:iCs/>
          <w:color w:val="000000" w:themeColor="text1"/>
          <w:lang w:val="en-US"/>
        </w:rPr>
        <w:t>Review of Management Science</w:t>
      </w:r>
      <w:r w:rsidRPr="00FA0B69">
        <w:rPr>
          <w:rFonts w:ascii="AdvPTimesI" w:hAnsi="AdvPTimesI" w:cs="AdvPTimesI"/>
          <w:color w:val="000000" w:themeColor="text1"/>
          <w:lang w:val="en-US"/>
        </w:rPr>
        <w:t>, DOI 10.1007/s11846-014-0132-x</w:t>
      </w:r>
      <w:r w:rsidRPr="00FA0B69">
        <w:rPr>
          <w:rFonts w:ascii="AdvPTimes" w:hAnsi="AdvPTimes" w:cs="AdvPTimes"/>
          <w:color w:val="000000" w:themeColor="text1"/>
          <w:lang w:val="en-US"/>
        </w:rPr>
        <w:t>.</w:t>
      </w:r>
    </w:p>
    <w:p w:rsidR="00693AF8" w:rsidRPr="00FA0B69" w:rsidRDefault="00693AF8" w:rsidP="00693AF8">
      <w:pPr>
        <w:tabs>
          <w:tab w:val="right" w:pos="720"/>
        </w:tabs>
        <w:ind w:left="527" w:hanging="527"/>
        <w:jc w:val="both"/>
        <w:rPr>
          <w:color w:val="000000" w:themeColor="text1"/>
          <w:lang w:val="en-US"/>
        </w:rPr>
      </w:pPr>
      <w:proofErr w:type="spellStart"/>
      <w:r w:rsidRPr="00FA0B69">
        <w:rPr>
          <w:color w:val="000000" w:themeColor="text1"/>
          <w:lang w:val="en-US"/>
        </w:rPr>
        <w:t>Chapra</w:t>
      </w:r>
      <w:proofErr w:type="spellEnd"/>
      <w:r w:rsidRPr="00FA0B69">
        <w:rPr>
          <w:color w:val="000000" w:themeColor="text1"/>
          <w:lang w:val="en-US"/>
        </w:rPr>
        <w:t xml:space="preserve">, M. U., Ahmed, H., (2002), Corporate governance in Islamic financial institutions, </w:t>
      </w:r>
      <w:r w:rsidRPr="00FA0B69">
        <w:rPr>
          <w:i/>
          <w:iCs/>
          <w:color w:val="000000" w:themeColor="text1"/>
          <w:lang w:val="en-US"/>
        </w:rPr>
        <w:t>Working Paper</w:t>
      </w:r>
      <w:r w:rsidRPr="00FA0B69">
        <w:rPr>
          <w:color w:val="000000" w:themeColor="text1"/>
          <w:lang w:val="en-US"/>
        </w:rPr>
        <w:t xml:space="preserve">, Islamic Development Bank, Islamic Research and Training </w:t>
      </w:r>
      <w:proofErr w:type="spellStart"/>
      <w:r w:rsidRPr="00FA0B69">
        <w:rPr>
          <w:color w:val="000000" w:themeColor="text1"/>
          <w:lang w:val="en-US"/>
        </w:rPr>
        <w:t>Ibstitute</w:t>
      </w:r>
      <w:proofErr w:type="spellEnd"/>
      <w:r w:rsidRPr="00FA0B69">
        <w:rPr>
          <w:color w:val="000000" w:themeColor="text1"/>
          <w:lang w:val="en-US"/>
        </w:rPr>
        <w:t>, Jeddah.</w:t>
      </w:r>
    </w:p>
    <w:p w:rsidR="00693AF8" w:rsidRPr="00FA0B69" w:rsidRDefault="00693AF8" w:rsidP="00693AF8">
      <w:pPr>
        <w:autoSpaceDE w:val="0"/>
        <w:autoSpaceDN w:val="0"/>
        <w:adjustRightInd w:val="0"/>
        <w:ind w:left="527" w:hanging="527"/>
        <w:jc w:val="both"/>
        <w:rPr>
          <w:rFonts w:ascii="AdvPTimes" w:hAnsi="AdvPTimes" w:cs="AdvPTimes"/>
          <w:color w:val="000000" w:themeColor="text1"/>
          <w:lang w:val="en-US"/>
        </w:rPr>
      </w:pPr>
      <w:r w:rsidRPr="00FA0B69">
        <w:rPr>
          <w:rFonts w:ascii="AdvPTimes" w:hAnsi="AdvPTimes" w:cs="AdvPTimes"/>
          <w:color w:val="000000" w:themeColor="text1"/>
          <w:lang w:val="en-US"/>
        </w:rPr>
        <w:t xml:space="preserve">Cheung, </w:t>
      </w:r>
      <w:proofErr w:type="gramStart"/>
      <w:r w:rsidRPr="00FA0B69">
        <w:rPr>
          <w:rFonts w:ascii="AdvPTimes" w:hAnsi="AdvPTimes" w:cs="AdvPTimes"/>
          <w:color w:val="000000" w:themeColor="text1"/>
          <w:lang w:val="en-US"/>
        </w:rPr>
        <w:t>YL.,</w:t>
      </w:r>
      <w:proofErr w:type="gramEnd"/>
      <w:r w:rsidRPr="00FA0B69">
        <w:rPr>
          <w:rFonts w:ascii="AdvPTimes" w:hAnsi="AdvPTimes" w:cs="AdvPTimes"/>
          <w:color w:val="000000" w:themeColor="text1"/>
          <w:lang w:val="en-US"/>
        </w:rPr>
        <w:t xml:space="preserve"> Thomas Connelly, J., </w:t>
      </w:r>
      <w:proofErr w:type="spellStart"/>
      <w:r w:rsidRPr="00FA0B69">
        <w:rPr>
          <w:rFonts w:ascii="AdvPTimes" w:hAnsi="AdvPTimes" w:cs="AdvPTimes"/>
          <w:color w:val="000000" w:themeColor="text1"/>
          <w:lang w:val="en-US"/>
        </w:rPr>
        <w:t>Limpaphayom</w:t>
      </w:r>
      <w:proofErr w:type="spellEnd"/>
      <w:r w:rsidRPr="00FA0B69">
        <w:rPr>
          <w:rFonts w:ascii="AdvPTimes" w:hAnsi="AdvPTimes" w:cs="AdvPTimes"/>
          <w:color w:val="000000" w:themeColor="text1"/>
          <w:lang w:val="en-US"/>
        </w:rPr>
        <w:t xml:space="preserve">, P., &amp; Zhou, L., (2007), Do investors really value corporate governance? </w:t>
      </w:r>
      <w:proofErr w:type="gramStart"/>
      <w:r w:rsidRPr="00FA0B69">
        <w:rPr>
          <w:rFonts w:ascii="AdvPTimes" w:hAnsi="AdvPTimes" w:cs="AdvPTimes"/>
          <w:color w:val="000000" w:themeColor="text1"/>
          <w:lang w:val="en-US"/>
        </w:rPr>
        <w:t xml:space="preserve">Evidence from the Hong Kong Market, </w:t>
      </w:r>
      <w:r w:rsidRPr="00FA0B69">
        <w:rPr>
          <w:rFonts w:ascii="AdvPTimesI" w:hAnsi="AdvPTimesI" w:cs="AdvPTimesI"/>
          <w:i/>
          <w:iCs/>
          <w:color w:val="000000" w:themeColor="text1"/>
          <w:lang w:val="en-US"/>
        </w:rPr>
        <w:t>Journal of International Finance Management Accounting</w:t>
      </w:r>
      <w:r w:rsidRPr="00FA0B69">
        <w:rPr>
          <w:rFonts w:ascii="AdvPTimesI" w:hAnsi="AdvPTimesI" w:cs="AdvPTimesI"/>
          <w:color w:val="000000" w:themeColor="text1"/>
          <w:lang w:val="en-US"/>
        </w:rPr>
        <w:t>, 18</w:t>
      </w:r>
      <w:r w:rsidRPr="00FA0B69">
        <w:rPr>
          <w:rFonts w:ascii="AdvPTimes" w:hAnsi="AdvPTimes" w:cs="AdvPTimes"/>
          <w:color w:val="000000" w:themeColor="text1"/>
          <w:lang w:val="en-US"/>
        </w:rPr>
        <w:t>, pp.86–122.</w:t>
      </w:r>
      <w:proofErr w:type="gramEnd"/>
    </w:p>
    <w:p w:rsidR="00693AF8" w:rsidRPr="00FA0B69" w:rsidRDefault="00693AF8" w:rsidP="00693AF8">
      <w:pPr>
        <w:tabs>
          <w:tab w:val="right" w:pos="720"/>
        </w:tabs>
        <w:ind w:left="527" w:hanging="527"/>
        <w:jc w:val="both"/>
        <w:rPr>
          <w:rFonts w:eastAsia="Calibri"/>
          <w:color w:val="000000" w:themeColor="text1"/>
          <w:lang w:val="en-US"/>
        </w:rPr>
      </w:pPr>
      <w:r w:rsidRPr="00FA0B69">
        <w:rPr>
          <w:rFonts w:eastAsia="Calibri"/>
          <w:color w:val="000000" w:themeColor="text1"/>
          <w:lang w:val="en-US"/>
        </w:rPr>
        <w:t>Cooper</w:t>
      </w:r>
      <w:r w:rsidRPr="00FA0B69">
        <w:rPr>
          <w:color w:val="000000" w:themeColor="text1"/>
          <w:lang w:val="en-US"/>
        </w:rPr>
        <w:t>, W.</w:t>
      </w:r>
      <w:r w:rsidRPr="00FA0B69">
        <w:rPr>
          <w:rFonts w:eastAsia="Calibri"/>
          <w:color w:val="000000" w:themeColor="text1"/>
          <w:lang w:val="en-US"/>
        </w:rPr>
        <w:t xml:space="preserve"> E</w:t>
      </w:r>
      <w:r w:rsidRPr="00FA0B69">
        <w:rPr>
          <w:color w:val="000000" w:themeColor="text1"/>
          <w:lang w:val="en-US"/>
        </w:rPr>
        <w:t>.</w:t>
      </w:r>
      <w:r w:rsidRPr="00FA0B69">
        <w:rPr>
          <w:rFonts w:eastAsia="Calibri"/>
          <w:color w:val="000000" w:themeColor="text1"/>
          <w:lang w:val="en-US"/>
        </w:rPr>
        <w:t>, (2008)</w:t>
      </w:r>
      <w:proofErr w:type="gramStart"/>
      <w:r w:rsidRPr="00FA0B69">
        <w:rPr>
          <w:color w:val="000000" w:themeColor="text1"/>
          <w:lang w:val="en-US"/>
        </w:rPr>
        <w:t>,</w:t>
      </w:r>
      <w:r w:rsidRPr="00FA0B69">
        <w:rPr>
          <w:rFonts w:eastAsia="Calibri"/>
          <w:color w:val="000000" w:themeColor="text1"/>
          <w:lang w:val="en-US"/>
        </w:rPr>
        <w:t>Monitoring</w:t>
      </w:r>
      <w:proofErr w:type="gramEnd"/>
      <w:r w:rsidRPr="00FA0B69">
        <w:rPr>
          <w:rFonts w:eastAsia="Calibri"/>
          <w:color w:val="000000" w:themeColor="text1"/>
          <w:lang w:val="en-US"/>
        </w:rPr>
        <w:t xml:space="preserve"> and governance of private banks. </w:t>
      </w:r>
      <w:proofErr w:type="gramStart"/>
      <w:r w:rsidRPr="00FA0B69">
        <w:rPr>
          <w:i/>
          <w:color w:val="000000" w:themeColor="text1"/>
          <w:lang w:val="en-US"/>
        </w:rPr>
        <w:t>The Quarterly Review of Economics and Finance</w:t>
      </w:r>
      <w:r w:rsidRPr="00FA0B69">
        <w:rPr>
          <w:color w:val="000000" w:themeColor="text1"/>
          <w:lang w:val="en-US"/>
        </w:rPr>
        <w:t>, 49, pp.</w:t>
      </w:r>
      <w:r w:rsidRPr="00FA0B69">
        <w:rPr>
          <w:rFonts w:eastAsia="Calibri"/>
          <w:color w:val="000000" w:themeColor="text1"/>
          <w:lang w:val="en-US"/>
        </w:rPr>
        <w:t>253-264</w:t>
      </w:r>
      <w:r w:rsidRPr="00FA0B69">
        <w:rPr>
          <w:color w:val="000000" w:themeColor="text1"/>
          <w:lang w:val="en-US"/>
        </w:rPr>
        <w:t>.</w:t>
      </w:r>
      <w:proofErr w:type="gramEnd"/>
    </w:p>
    <w:p w:rsidR="00693AF8" w:rsidRPr="00FA0B69" w:rsidRDefault="00693AF8" w:rsidP="00693AF8">
      <w:pPr>
        <w:autoSpaceDE w:val="0"/>
        <w:autoSpaceDN w:val="0"/>
        <w:adjustRightInd w:val="0"/>
        <w:ind w:left="527" w:hanging="527"/>
        <w:jc w:val="both"/>
        <w:rPr>
          <w:rFonts w:asciiTheme="majorBidi" w:hAnsiTheme="majorBidi" w:cstheme="majorBidi"/>
          <w:color w:val="000000" w:themeColor="text1"/>
          <w:lang w:val="en-US"/>
        </w:rPr>
      </w:pPr>
      <w:r w:rsidRPr="00FA0B69">
        <w:rPr>
          <w:rFonts w:asciiTheme="majorBidi" w:hAnsiTheme="majorBidi" w:cstheme="majorBidi"/>
          <w:color w:val="000000" w:themeColor="text1"/>
          <w:lang w:val="en-US"/>
        </w:rPr>
        <w:t xml:space="preserve">Core, J., </w:t>
      </w:r>
      <w:proofErr w:type="spellStart"/>
      <w:r w:rsidRPr="00FA0B69">
        <w:rPr>
          <w:rFonts w:asciiTheme="majorBidi" w:hAnsiTheme="majorBidi" w:cstheme="majorBidi"/>
          <w:color w:val="000000" w:themeColor="text1"/>
          <w:lang w:val="en-US"/>
        </w:rPr>
        <w:t>Gua</w:t>
      </w:r>
      <w:r>
        <w:rPr>
          <w:rFonts w:asciiTheme="majorBidi" w:hAnsiTheme="majorBidi" w:cstheme="majorBidi"/>
          <w:color w:val="000000" w:themeColor="text1"/>
          <w:lang w:val="en-US"/>
        </w:rPr>
        <w:t>y</w:t>
      </w:r>
      <w:proofErr w:type="spellEnd"/>
      <w:r>
        <w:rPr>
          <w:rFonts w:asciiTheme="majorBidi" w:hAnsiTheme="majorBidi" w:cstheme="majorBidi"/>
          <w:color w:val="000000" w:themeColor="text1"/>
          <w:lang w:val="en-US"/>
        </w:rPr>
        <w:t xml:space="preserve">, W. and </w:t>
      </w:r>
      <w:proofErr w:type="spellStart"/>
      <w:r>
        <w:rPr>
          <w:rFonts w:asciiTheme="majorBidi" w:hAnsiTheme="majorBidi" w:cstheme="majorBidi"/>
          <w:color w:val="000000" w:themeColor="text1"/>
          <w:lang w:val="en-US"/>
        </w:rPr>
        <w:t>Rusticus</w:t>
      </w:r>
      <w:proofErr w:type="spellEnd"/>
      <w:r>
        <w:rPr>
          <w:rFonts w:asciiTheme="majorBidi" w:hAnsiTheme="majorBidi" w:cstheme="majorBidi"/>
          <w:color w:val="000000" w:themeColor="text1"/>
          <w:lang w:val="en-US"/>
        </w:rPr>
        <w:t xml:space="preserve">, T. (2005), </w:t>
      </w:r>
      <w:r w:rsidRPr="00FA0B69">
        <w:rPr>
          <w:rFonts w:asciiTheme="majorBidi" w:hAnsiTheme="majorBidi" w:cstheme="majorBidi"/>
          <w:color w:val="000000" w:themeColor="text1"/>
          <w:lang w:val="en-US"/>
        </w:rPr>
        <w:t>Does weak governance cause weak stock returns? An examination of firm perfor</w:t>
      </w:r>
      <w:r>
        <w:rPr>
          <w:rFonts w:asciiTheme="majorBidi" w:hAnsiTheme="majorBidi" w:cstheme="majorBidi"/>
          <w:color w:val="000000" w:themeColor="text1"/>
          <w:lang w:val="en-US"/>
        </w:rPr>
        <w:t>mance and analysts’ expectation</w:t>
      </w:r>
      <w:r w:rsidRPr="00FA0B69">
        <w:rPr>
          <w:rFonts w:asciiTheme="majorBidi" w:hAnsiTheme="majorBidi" w:cstheme="majorBidi"/>
          <w:color w:val="000000" w:themeColor="text1"/>
          <w:lang w:val="en-US"/>
        </w:rPr>
        <w:t xml:space="preserve">, </w:t>
      </w:r>
      <w:r w:rsidRPr="00FA0B69">
        <w:rPr>
          <w:rFonts w:asciiTheme="majorBidi" w:hAnsiTheme="majorBidi" w:cstheme="majorBidi"/>
          <w:i/>
          <w:iCs/>
          <w:color w:val="000000" w:themeColor="text1"/>
          <w:lang w:val="en-US"/>
        </w:rPr>
        <w:t xml:space="preserve">Working </w:t>
      </w:r>
      <w:proofErr w:type="spellStart"/>
      <w:r w:rsidRPr="00FA0B69">
        <w:rPr>
          <w:rFonts w:asciiTheme="majorBidi" w:hAnsiTheme="majorBidi" w:cstheme="majorBidi"/>
          <w:i/>
          <w:iCs/>
          <w:color w:val="000000" w:themeColor="text1"/>
          <w:lang w:val="en-US"/>
        </w:rPr>
        <w:t>Paper</w:t>
      </w:r>
      <w:proofErr w:type="gramStart"/>
      <w:r w:rsidRPr="00FA0B69">
        <w:rPr>
          <w:rFonts w:asciiTheme="majorBidi" w:hAnsiTheme="majorBidi" w:cstheme="majorBidi"/>
          <w:color w:val="000000" w:themeColor="text1"/>
          <w:lang w:val="en-US"/>
        </w:rPr>
        <w:t>,University</w:t>
      </w:r>
      <w:proofErr w:type="spellEnd"/>
      <w:proofErr w:type="gramEnd"/>
      <w:r w:rsidRPr="00FA0B69">
        <w:rPr>
          <w:rFonts w:asciiTheme="majorBidi" w:hAnsiTheme="majorBidi" w:cstheme="majorBidi"/>
          <w:color w:val="000000" w:themeColor="text1"/>
          <w:lang w:val="en-US"/>
        </w:rPr>
        <w:t xml:space="preserve"> of Pennsylvania.</w:t>
      </w:r>
    </w:p>
    <w:p w:rsidR="00693AF8" w:rsidRPr="00FA0B69" w:rsidRDefault="00693AF8" w:rsidP="00693AF8">
      <w:pPr>
        <w:tabs>
          <w:tab w:val="right" w:pos="720"/>
        </w:tabs>
        <w:ind w:left="527" w:hanging="527"/>
        <w:jc w:val="both"/>
        <w:rPr>
          <w:color w:val="000000" w:themeColor="text1"/>
          <w:lang w:val="en-US"/>
        </w:rPr>
      </w:pPr>
      <w:proofErr w:type="spellStart"/>
      <w:r w:rsidRPr="00FA0B69">
        <w:rPr>
          <w:color w:val="000000" w:themeColor="text1"/>
          <w:lang w:val="en-US"/>
        </w:rPr>
        <w:t>Darmadi</w:t>
      </w:r>
      <w:proofErr w:type="spellEnd"/>
      <w:r w:rsidRPr="00FA0B69">
        <w:rPr>
          <w:color w:val="000000" w:themeColor="text1"/>
          <w:lang w:val="en-US"/>
        </w:rPr>
        <w:t xml:space="preserve">, S., (2011), Corporate governance disclosure in the annual report: An exploratory study on Indonesian Islamic banks, </w:t>
      </w:r>
      <w:r w:rsidRPr="00FA0B69">
        <w:rPr>
          <w:i/>
          <w:iCs/>
          <w:color w:val="000000" w:themeColor="text1"/>
          <w:lang w:val="en-US"/>
        </w:rPr>
        <w:t>Working paper</w:t>
      </w:r>
      <w:proofErr w:type="gramStart"/>
      <w:r w:rsidRPr="00FA0B69">
        <w:rPr>
          <w:color w:val="000000" w:themeColor="text1"/>
          <w:lang w:val="en-US"/>
        </w:rPr>
        <w:t>,  Indonesian</w:t>
      </w:r>
      <w:proofErr w:type="gramEnd"/>
      <w:r w:rsidRPr="00FA0B69">
        <w:rPr>
          <w:color w:val="000000" w:themeColor="text1"/>
          <w:lang w:val="en-US"/>
        </w:rPr>
        <w:t xml:space="preserve"> College of State Accountancy.</w:t>
      </w:r>
    </w:p>
    <w:p w:rsidR="00693AF8" w:rsidRPr="00FA0B69" w:rsidRDefault="00693AF8" w:rsidP="00693AF8">
      <w:pPr>
        <w:tabs>
          <w:tab w:val="right" w:pos="720"/>
        </w:tabs>
        <w:ind w:left="527" w:hanging="527"/>
        <w:jc w:val="both"/>
        <w:rPr>
          <w:color w:val="000000" w:themeColor="text1"/>
          <w:lang w:val="en-US"/>
        </w:rPr>
      </w:pPr>
      <w:r w:rsidRPr="00FA0B69">
        <w:rPr>
          <w:color w:val="000000" w:themeColor="text1"/>
          <w:lang w:val="en-US"/>
        </w:rPr>
        <w:t xml:space="preserve">De Andres, P., </w:t>
      </w:r>
      <w:proofErr w:type="spellStart"/>
      <w:r w:rsidRPr="00FA0B69">
        <w:rPr>
          <w:color w:val="000000" w:themeColor="text1"/>
          <w:lang w:val="en-US"/>
        </w:rPr>
        <w:t>Vallelado</w:t>
      </w:r>
      <w:proofErr w:type="spellEnd"/>
      <w:r w:rsidRPr="00FA0B69">
        <w:rPr>
          <w:color w:val="000000" w:themeColor="text1"/>
          <w:lang w:val="en-US"/>
        </w:rPr>
        <w:t xml:space="preserve">, E., (2008), Corporate governance in banking: The role of the board of directors, </w:t>
      </w:r>
      <w:r w:rsidRPr="00FA0B69">
        <w:rPr>
          <w:i/>
          <w:iCs/>
          <w:color w:val="000000" w:themeColor="text1"/>
          <w:lang w:val="en-US"/>
        </w:rPr>
        <w:t>Journal of banking and Finance</w:t>
      </w:r>
      <w:r w:rsidRPr="00FA0B69">
        <w:rPr>
          <w:color w:val="000000" w:themeColor="text1"/>
          <w:lang w:val="en-US"/>
        </w:rPr>
        <w:t>, 32, pp.2570-2580.</w:t>
      </w:r>
    </w:p>
    <w:p w:rsidR="00693AF8" w:rsidRPr="00FA0B69" w:rsidRDefault="00693AF8" w:rsidP="00693AF8">
      <w:pPr>
        <w:tabs>
          <w:tab w:val="right" w:pos="720"/>
        </w:tabs>
        <w:ind w:left="527" w:hanging="527"/>
        <w:jc w:val="both"/>
        <w:rPr>
          <w:color w:val="000000" w:themeColor="text1"/>
          <w:lang w:val="en-US"/>
        </w:rPr>
      </w:pPr>
      <w:proofErr w:type="spellStart"/>
      <w:r w:rsidRPr="00FA0B69">
        <w:rPr>
          <w:color w:val="000000" w:themeColor="text1"/>
          <w:lang w:val="en-US"/>
        </w:rPr>
        <w:t>Dedu</w:t>
      </w:r>
      <w:proofErr w:type="spellEnd"/>
      <w:r w:rsidRPr="00FA0B69">
        <w:rPr>
          <w:color w:val="000000" w:themeColor="text1"/>
          <w:lang w:val="en-US"/>
        </w:rPr>
        <w:t xml:space="preserve">, V., </w:t>
      </w:r>
      <w:proofErr w:type="spellStart"/>
      <w:r w:rsidRPr="00FA0B69">
        <w:rPr>
          <w:color w:val="000000" w:themeColor="text1"/>
          <w:lang w:val="en-US"/>
        </w:rPr>
        <w:t>Chitan</w:t>
      </w:r>
      <w:proofErr w:type="spellEnd"/>
      <w:r w:rsidRPr="00FA0B69">
        <w:rPr>
          <w:color w:val="000000" w:themeColor="text1"/>
          <w:lang w:val="en-US"/>
        </w:rPr>
        <w:t xml:space="preserve">, G., (2013), </w:t>
      </w:r>
      <w:proofErr w:type="gramStart"/>
      <w:r w:rsidRPr="00FA0B69">
        <w:rPr>
          <w:color w:val="000000" w:themeColor="text1"/>
          <w:lang w:val="en-US"/>
        </w:rPr>
        <w:t>The</w:t>
      </w:r>
      <w:proofErr w:type="gramEnd"/>
      <w:r w:rsidRPr="00FA0B69">
        <w:rPr>
          <w:color w:val="000000" w:themeColor="text1"/>
          <w:lang w:val="en-US"/>
        </w:rPr>
        <w:t xml:space="preserve"> influence of internal corporate governance on bank performance: An empirical analysis for Romania, </w:t>
      </w:r>
      <w:r>
        <w:rPr>
          <w:i/>
          <w:color w:val="000000" w:themeColor="text1"/>
          <w:lang w:val="en-US"/>
        </w:rPr>
        <w:t>Procedia-</w:t>
      </w:r>
      <w:r w:rsidRPr="00FA0B69">
        <w:rPr>
          <w:i/>
          <w:color w:val="000000" w:themeColor="text1"/>
          <w:lang w:val="en-US"/>
        </w:rPr>
        <w:t>Social and Behavioral sciences</w:t>
      </w:r>
      <w:r w:rsidRPr="00FA0B69">
        <w:rPr>
          <w:color w:val="000000" w:themeColor="text1"/>
          <w:lang w:val="en-US"/>
        </w:rPr>
        <w:t>, 99, pp.1114-1123.</w:t>
      </w:r>
    </w:p>
    <w:p w:rsidR="00693AF8" w:rsidRPr="00FA0B69" w:rsidRDefault="00693AF8" w:rsidP="00693AF8">
      <w:pPr>
        <w:tabs>
          <w:tab w:val="right" w:pos="720"/>
        </w:tabs>
        <w:ind w:left="527" w:hanging="527"/>
        <w:jc w:val="both"/>
        <w:rPr>
          <w:color w:val="000000" w:themeColor="text1"/>
          <w:lang w:val="en-US"/>
        </w:rPr>
      </w:pPr>
      <w:r w:rsidRPr="00FA0B69">
        <w:rPr>
          <w:color w:val="000000" w:themeColor="text1"/>
          <w:lang w:val="en-US"/>
        </w:rPr>
        <w:t xml:space="preserve">Diamond, W., Rajan, G., (2009), </w:t>
      </w:r>
      <w:proofErr w:type="gramStart"/>
      <w:r w:rsidRPr="00FA0B69">
        <w:rPr>
          <w:color w:val="000000" w:themeColor="text1"/>
          <w:lang w:val="en-US"/>
        </w:rPr>
        <w:t>The</w:t>
      </w:r>
      <w:proofErr w:type="gramEnd"/>
      <w:r w:rsidRPr="00FA0B69">
        <w:rPr>
          <w:color w:val="000000" w:themeColor="text1"/>
          <w:lang w:val="en-US"/>
        </w:rPr>
        <w:t xml:space="preserve"> credit crisis: conjectures about causes and remedies, </w:t>
      </w:r>
      <w:r w:rsidRPr="00FA0B69">
        <w:rPr>
          <w:i/>
          <w:color w:val="000000" w:themeColor="text1"/>
          <w:lang w:val="en-US"/>
        </w:rPr>
        <w:t>American Economic Review</w:t>
      </w:r>
      <w:r w:rsidRPr="00FA0B69">
        <w:rPr>
          <w:color w:val="000000" w:themeColor="text1"/>
          <w:lang w:val="en-US"/>
        </w:rPr>
        <w:t>, 99, pp.606-610.</w:t>
      </w:r>
    </w:p>
    <w:p w:rsidR="00693AF8" w:rsidRPr="00FA0B69" w:rsidRDefault="00693AF8" w:rsidP="00693AF8">
      <w:pPr>
        <w:tabs>
          <w:tab w:val="right" w:pos="720"/>
        </w:tabs>
        <w:ind w:left="527" w:hanging="527"/>
        <w:jc w:val="both"/>
        <w:rPr>
          <w:color w:val="000000" w:themeColor="text1"/>
          <w:lang w:val="en-US"/>
        </w:rPr>
      </w:pPr>
      <w:proofErr w:type="spellStart"/>
      <w:r w:rsidRPr="00FA0B69">
        <w:rPr>
          <w:color w:val="000000" w:themeColor="text1"/>
          <w:lang w:val="en-US"/>
        </w:rPr>
        <w:t>Farook</w:t>
      </w:r>
      <w:proofErr w:type="spellEnd"/>
      <w:r w:rsidRPr="00FA0B69">
        <w:rPr>
          <w:color w:val="000000" w:themeColor="text1"/>
          <w:lang w:val="en-US"/>
        </w:rPr>
        <w:t xml:space="preserve">, S., Hassan, M. K., </w:t>
      </w:r>
      <w:proofErr w:type="spellStart"/>
      <w:r w:rsidRPr="00FA0B69">
        <w:rPr>
          <w:color w:val="000000" w:themeColor="text1"/>
          <w:lang w:val="en-US"/>
        </w:rPr>
        <w:t>Lanis</w:t>
      </w:r>
      <w:proofErr w:type="spellEnd"/>
      <w:r w:rsidRPr="00FA0B69">
        <w:rPr>
          <w:color w:val="000000" w:themeColor="text1"/>
          <w:lang w:val="en-US"/>
        </w:rPr>
        <w:t>, R., (2011)</w:t>
      </w:r>
      <w:proofErr w:type="gramStart"/>
      <w:r w:rsidRPr="00FA0B69">
        <w:rPr>
          <w:color w:val="000000" w:themeColor="text1"/>
          <w:lang w:val="en-US"/>
        </w:rPr>
        <w:t>,Determinants</w:t>
      </w:r>
      <w:proofErr w:type="gramEnd"/>
      <w:r w:rsidRPr="00FA0B69">
        <w:rPr>
          <w:color w:val="000000" w:themeColor="text1"/>
          <w:lang w:val="en-US"/>
        </w:rPr>
        <w:t xml:space="preserve"> of corporate social respo</w:t>
      </w:r>
      <w:r>
        <w:rPr>
          <w:color w:val="000000" w:themeColor="text1"/>
          <w:lang w:val="en-US"/>
        </w:rPr>
        <w:t>n</w:t>
      </w:r>
      <w:r w:rsidRPr="00FA0B69">
        <w:rPr>
          <w:color w:val="000000" w:themeColor="text1"/>
          <w:lang w:val="en-US"/>
        </w:rPr>
        <w:t xml:space="preserve">sibility disclosure: the case of Islamic banks, </w:t>
      </w:r>
      <w:r w:rsidRPr="00FA0B69">
        <w:rPr>
          <w:i/>
          <w:iCs/>
          <w:color w:val="000000" w:themeColor="text1"/>
          <w:lang w:val="en-US"/>
        </w:rPr>
        <w:t xml:space="preserve">Journal of Islamic </w:t>
      </w:r>
      <w:r>
        <w:rPr>
          <w:i/>
          <w:iCs/>
          <w:color w:val="000000" w:themeColor="text1"/>
          <w:lang w:val="en-US"/>
        </w:rPr>
        <w:t>A</w:t>
      </w:r>
      <w:r w:rsidRPr="00FA0B69">
        <w:rPr>
          <w:i/>
          <w:iCs/>
          <w:color w:val="000000" w:themeColor="text1"/>
          <w:lang w:val="en-US"/>
        </w:rPr>
        <w:t>ccounting and Business Research</w:t>
      </w:r>
      <w:r w:rsidRPr="00FA0B69">
        <w:rPr>
          <w:color w:val="000000" w:themeColor="text1"/>
          <w:lang w:val="en-US"/>
        </w:rPr>
        <w:t>, 2, pp.114-141.</w:t>
      </w:r>
    </w:p>
    <w:p w:rsidR="00693AF8" w:rsidRPr="00FA0B69" w:rsidRDefault="00693AF8" w:rsidP="00693AF8">
      <w:pPr>
        <w:tabs>
          <w:tab w:val="right" w:pos="720"/>
        </w:tabs>
        <w:ind w:left="527" w:hanging="527"/>
        <w:jc w:val="both"/>
        <w:rPr>
          <w:color w:val="000000" w:themeColor="text1"/>
          <w:lang w:val="en-US"/>
        </w:rPr>
      </w:pPr>
      <w:r w:rsidRPr="00FA0B69">
        <w:rPr>
          <w:color w:val="000000" w:themeColor="text1"/>
          <w:lang w:val="en-US"/>
        </w:rPr>
        <w:t>Ferrero-Ferrero, I., Fernandez-</w:t>
      </w:r>
      <w:proofErr w:type="spellStart"/>
      <w:r w:rsidRPr="00FA0B69">
        <w:rPr>
          <w:color w:val="000000" w:themeColor="text1"/>
          <w:lang w:val="en-US"/>
        </w:rPr>
        <w:t>Izquierdo</w:t>
      </w:r>
      <w:proofErr w:type="spellEnd"/>
      <w:r w:rsidRPr="00FA0B69">
        <w:rPr>
          <w:color w:val="000000" w:themeColor="text1"/>
          <w:lang w:val="en-US"/>
        </w:rPr>
        <w:t xml:space="preserve">, M. A., Munoz-Torres, M, J., (2012), </w:t>
      </w:r>
      <w:proofErr w:type="gramStart"/>
      <w:r w:rsidRPr="00FA0B69">
        <w:rPr>
          <w:color w:val="000000" w:themeColor="text1"/>
          <w:lang w:val="en-US"/>
        </w:rPr>
        <w:t>The</w:t>
      </w:r>
      <w:proofErr w:type="gramEnd"/>
      <w:r w:rsidRPr="00FA0B69">
        <w:rPr>
          <w:color w:val="000000" w:themeColor="text1"/>
          <w:lang w:val="en-US"/>
        </w:rPr>
        <w:t xml:space="preserve"> impact of the board of directors characteristics on corporate governance and risk-taking before and during the global financial crisis, </w:t>
      </w:r>
      <w:r w:rsidRPr="00FA0B69">
        <w:rPr>
          <w:i/>
          <w:iCs/>
          <w:color w:val="000000" w:themeColor="text1"/>
          <w:lang w:val="en-US"/>
        </w:rPr>
        <w:t>Review of Management Science</w:t>
      </w:r>
      <w:r w:rsidRPr="00FA0B69">
        <w:rPr>
          <w:color w:val="000000" w:themeColor="text1"/>
          <w:lang w:val="en-US"/>
        </w:rPr>
        <w:t>, 3, pp.207-226.</w:t>
      </w:r>
    </w:p>
    <w:p w:rsidR="00693AF8" w:rsidRPr="00FA0B69" w:rsidRDefault="00693AF8" w:rsidP="00693AF8">
      <w:pPr>
        <w:tabs>
          <w:tab w:val="right" w:pos="720"/>
        </w:tabs>
        <w:ind w:left="527" w:hanging="527"/>
        <w:jc w:val="both"/>
        <w:rPr>
          <w:color w:val="000000" w:themeColor="text1"/>
          <w:lang w:val="en-US"/>
        </w:rPr>
      </w:pPr>
      <w:r w:rsidRPr="00FA0B69">
        <w:rPr>
          <w:color w:val="000000" w:themeColor="text1"/>
          <w:lang w:val="en-US"/>
        </w:rPr>
        <w:t xml:space="preserve">Frankel, R., Johnson, M., Johnson, K., (2002), </w:t>
      </w:r>
      <w:proofErr w:type="gramStart"/>
      <w:r w:rsidRPr="00FA0B69">
        <w:rPr>
          <w:color w:val="000000" w:themeColor="text1"/>
          <w:lang w:val="en-US"/>
        </w:rPr>
        <w:t>The</w:t>
      </w:r>
      <w:proofErr w:type="gramEnd"/>
      <w:r w:rsidRPr="00FA0B69">
        <w:rPr>
          <w:color w:val="000000" w:themeColor="text1"/>
          <w:lang w:val="en-US"/>
        </w:rPr>
        <w:t xml:space="preserve"> relation between auditors’ fees for non-audit services and earnings, </w:t>
      </w:r>
      <w:r w:rsidRPr="00FA0B69">
        <w:rPr>
          <w:i/>
          <w:color w:val="000000" w:themeColor="text1"/>
          <w:lang w:val="en-US"/>
        </w:rPr>
        <w:t>Management Accounting Review</w:t>
      </w:r>
      <w:r w:rsidRPr="00FA0B69">
        <w:rPr>
          <w:color w:val="000000" w:themeColor="text1"/>
          <w:lang w:val="en-US"/>
        </w:rPr>
        <w:t>, 77, pp.71-105.</w:t>
      </w:r>
    </w:p>
    <w:p w:rsidR="00693AF8" w:rsidRPr="00FA0B69" w:rsidRDefault="00693AF8" w:rsidP="00693AF8">
      <w:pPr>
        <w:tabs>
          <w:tab w:val="right" w:pos="720"/>
        </w:tabs>
        <w:ind w:left="527" w:hanging="527"/>
        <w:jc w:val="both"/>
        <w:rPr>
          <w:color w:val="000000" w:themeColor="text1"/>
          <w:lang w:val="en-US"/>
        </w:rPr>
      </w:pPr>
      <w:r w:rsidRPr="00FA0B69">
        <w:rPr>
          <w:color w:val="000000" w:themeColor="text1"/>
          <w:lang w:val="en-US"/>
        </w:rPr>
        <w:t xml:space="preserve">Gompers, P. A., Ishii, J. L., </w:t>
      </w:r>
      <w:proofErr w:type="spellStart"/>
      <w:r w:rsidRPr="00FA0B69">
        <w:rPr>
          <w:color w:val="000000" w:themeColor="text1"/>
          <w:lang w:val="en-US"/>
        </w:rPr>
        <w:t>Metrick</w:t>
      </w:r>
      <w:proofErr w:type="spellEnd"/>
      <w:r w:rsidRPr="00FA0B69">
        <w:rPr>
          <w:color w:val="000000" w:themeColor="text1"/>
          <w:lang w:val="en-US"/>
        </w:rPr>
        <w:t xml:space="preserve">, A., (2003), Corporate governance and equity prices, </w:t>
      </w:r>
      <w:r w:rsidRPr="00FA0B69">
        <w:rPr>
          <w:i/>
          <w:color w:val="000000" w:themeColor="text1"/>
          <w:lang w:val="en-US"/>
        </w:rPr>
        <w:t>Quarterly Journal of Economics</w:t>
      </w:r>
      <w:r w:rsidRPr="00FA0B69">
        <w:rPr>
          <w:color w:val="000000" w:themeColor="text1"/>
          <w:lang w:val="en-US"/>
        </w:rPr>
        <w:t>, 118, pp.107-155.</w:t>
      </w:r>
    </w:p>
    <w:p w:rsidR="00693AF8" w:rsidRPr="00FA0B69" w:rsidRDefault="00693AF8" w:rsidP="00693AF8">
      <w:pPr>
        <w:tabs>
          <w:tab w:val="right" w:pos="720"/>
        </w:tabs>
        <w:ind w:left="527" w:hanging="527"/>
        <w:jc w:val="both"/>
        <w:rPr>
          <w:rFonts w:asciiTheme="majorBidi" w:hAnsiTheme="majorBidi" w:cstheme="majorBidi"/>
          <w:color w:val="000000" w:themeColor="text1"/>
          <w:lang w:bidi="ar-TN"/>
        </w:rPr>
      </w:pPr>
      <w:proofErr w:type="spellStart"/>
      <w:r w:rsidRPr="00FA0B69">
        <w:rPr>
          <w:rFonts w:asciiTheme="majorBidi" w:hAnsiTheme="majorBidi" w:cstheme="majorBidi"/>
          <w:color w:val="000000" w:themeColor="text1"/>
          <w:lang w:val="en-US"/>
        </w:rPr>
        <w:t>Grais</w:t>
      </w:r>
      <w:proofErr w:type="spellEnd"/>
      <w:r w:rsidRPr="00FA0B69">
        <w:rPr>
          <w:rFonts w:asciiTheme="majorBidi" w:hAnsiTheme="majorBidi" w:cstheme="majorBidi"/>
          <w:color w:val="000000" w:themeColor="text1"/>
          <w:lang w:val="en-US"/>
        </w:rPr>
        <w:t xml:space="preserve">, W. Pellegrini, M., (2006), </w:t>
      </w:r>
      <w:proofErr w:type="gramStart"/>
      <w:r w:rsidRPr="00FA0B69">
        <w:rPr>
          <w:rFonts w:asciiTheme="majorBidi" w:hAnsiTheme="majorBidi" w:cstheme="majorBidi"/>
          <w:color w:val="000000" w:themeColor="text1"/>
          <w:lang w:val="en-US"/>
        </w:rPr>
        <w:t>Corporate</w:t>
      </w:r>
      <w:proofErr w:type="gramEnd"/>
      <w:r w:rsidRPr="00FA0B69">
        <w:rPr>
          <w:rFonts w:asciiTheme="majorBidi" w:hAnsiTheme="majorBidi" w:cstheme="majorBidi"/>
          <w:color w:val="000000" w:themeColor="text1"/>
          <w:lang w:val="en-US"/>
        </w:rPr>
        <w:t xml:space="preserve"> governance in institutions offering Islamic financial services: Issues and options, </w:t>
      </w:r>
      <w:r w:rsidRPr="00FA0B69">
        <w:rPr>
          <w:rFonts w:asciiTheme="majorBidi" w:hAnsiTheme="majorBidi" w:cstheme="majorBidi"/>
          <w:i/>
          <w:iCs/>
          <w:color w:val="000000" w:themeColor="text1"/>
          <w:lang w:val="en-US"/>
        </w:rPr>
        <w:t xml:space="preserve">Working </w:t>
      </w:r>
      <w:r>
        <w:rPr>
          <w:rFonts w:asciiTheme="majorBidi" w:hAnsiTheme="majorBidi" w:cstheme="majorBidi"/>
          <w:i/>
          <w:iCs/>
          <w:color w:val="000000" w:themeColor="text1"/>
          <w:lang w:val="en-US"/>
        </w:rPr>
        <w:t>P</w:t>
      </w:r>
      <w:r w:rsidRPr="00FA0B69">
        <w:rPr>
          <w:rFonts w:asciiTheme="majorBidi" w:hAnsiTheme="majorBidi" w:cstheme="majorBidi"/>
          <w:i/>
          <w:iCs/>
          <w:color w:val="000000" w:themeColor="text1"/>
          <w:lang w:val="en-US"/>
        </w:rPr>
        <w:t>aper</w:t>
      </w:r>
      <w:r w:rsidRPr="00FA0B69">
        <w:rPr>
          <w:rFonts w:asciiTheme="majorBidi" w:hAnsiTheme="majorBidi" w:cstheme="majorBidi"/>
          <w:color w:val="000000" w:themeColor="text1"/>
          <w:lang w:val="en-US"/>
        </w:rPr>
        <w:t xml:space="preserve"> 4051,</w:t>
      </w:r>
      <w:r w:rsidRPr="00FA0B69">
        <w:rPr>
          <w:rFonts w:asciiTheme="majorBidi" w:hAnsiTheme="majorBidi" w:cstheme="majorBidi"/>
          <w:i/>
          <w:iCs/>
          <w:color w:val="000000" w:themeColor="text1"/>
          <w:lang w:val="en-US"/>
        </w:rPr>
        <w:t xml:space="preserve"> Washington, </w:t>
      </w:r>
      <w:r w:rsidRPr="00FA0B69">
        <w:rPr>
          <w:rFonts w:asciiTheme="majorBidi" w:hAnsiTheme="majorBidi" w:cstheme="majorBidi"/>
          <w:color w:val="000000" w:themeColor="text1"/>
          <w:lang w:val="en-US"/>
        </w:rPr>
        <w:t>World Bank Policy Research.</w:t>
      </w:r>
    </w:p>
    <w:p w:rsidR="00693AF8" w:rsidRPr="00FA0B69" w:rsidRDefault="00693AF8" w:rsidP="00693AF8">
      <w:pPr>
        <w:tabs>
          <w:tab w:val="right" w:pos="720"/>
        </w:tabs>
        <w:ind w:left="527" w:hanging="527"/>
        <w:jc w:val="both"/>
        <w:rPr>
          <w:rFonts w:asciiTheme="majorBidi" w:hAnsiTheme="majorBidi" w:cstheme="majorBidi"/>
          <w:color w:val="000000" w:themeColor="text1"/>
          <w:lang w:val="en-US"/>
        </w:rPr>
      </w:pPr>
      <w:proofErr w:type="spellStart"/>
      <w:r w:rsidRPr="00FA0B69">
        <w:rPr>
          <w:rFonts w:asciiTheme="majorBidi" w:hAnsiTheme="majorBidi" w:cstheme="majorBidi"/>
          <w:color w:val="000000" w:themeColor="text1"/>
        </w:rPr>
        <w:t>Greuning</w:t>
      </w:r>
      <w:proofErr w:type="spellEnd"/>
      <w:r w:rsidRPr="00FA0B69">
        <w:rPr>
          <w:rFonts w:asciiTheme="majorBidi" w:hAnsiTheme="majorBidi" w:cstheme="majorBidi"/>
          <w:color w:val="000000" w:themeColor="text1"/>
          <w:lang w:val="en-US"/>
        </w:rPr>
        <w:t xml:space="preserve">, V., Iqbal, Z., (2007), Banking and the risk environment, in Simon Archer and R.A.A. Karim (eds.), Islamic Finance: The Regulatory Challenge. </w:t>
      </w:r>
      <w:proofErr w:type="spellStart"/>
      <w:r w:rsidRPr="00FA0B69">
        <w:rPr>
          <w:rFonts w:asciiTheme="majorBidi" w:hAnsiTheme="majorBidi" w:cstheme="majorBidi"/>
          <w:color w:val="000000" w:themeColor="text1"/>
          <w:lang w:val="en-US"/>
        </w:rPr>
        <w:t>Chichester</w:t>
      </w:r>
      <w:proofErr w:type="spellEnd"/>
      <w:r w:rsidRPr="00FA0B69">
        <w:rPr>
          <w:rFonts w:asciiTheme="majorBidi" w:hAnsiTheme="majorBidi" w:cstheme="majorBidi"/>
          <w:color w:val="000000" w:themeColor="text1"/>
          <w:lang w:val="en-US"/>
        </w:rPr>
        <w:t xml:space="preserve">: John Wiley &amp; Sons (Asia) </w:t>
      </w:r>
      <w:proofErr w:type="spellStart"/>
      <w:r w:rsidRPr="00FA0B69">
        <w:rPr>
          <w:rFonts w:asciiTheme="majorBidi" w:hAnsiTheme="majorBidi" w:cstheme="majorBidi"/>
          <w:color w:val="000000" w:themeColor="text1"/>
          <w:lang w:val="en-US"/>
        </w:rPr>
        <w:t>Pte</w:t>
      </w:r>
      <w:proofErr w:type="spellEnd"/>
      <w:r w:rsidRPr="00FA0B69">
        <w:rPr>
          <w:rFonts w:asciiTheme="majorBidi" w:hAnsiTheme="majorBidi" w:cstheme="majorBidi"/>
          <w:color w:val="000000" w:themeColor="text1"/>
          <w:lang w:val="en-US"/>
        </w:rPr>
        <w:t xml:space="preserve"> Ltd.</w:t>
      </w:r>
    </w:p>
    <w:p w:rsidR="00693AF8" w:rsidRPr="00FA0B69" w:rsidRDefault="00693AF8" w:rsidP="00693AF8">
      <w:pPr>
        <w:tabs>
          <w:tab w:val="right" w:pos="720"/>
        </w:tabs>
        <w:ind w:left="527" w:hanging="527"/>
        <w:jc w:val="both"/>
        <w:rPr>
          <w:color w:val="000000" w:themeColor="text1"/>
          <w:lang w:val="en-US"/>
        </w:rPr>
      </w:pPr>
      <w:r w:rsidRPr="00FA0B69">
        <w:rPr>
          <w:color w:val="000000" w:themeColor="text1"/>
          <w:lang w:val="en-US"/>
        </w:rPr>
        <w:t xml:space="preserve">Hassan, M. K., (2012), </w:t>
      </w:r>
      <w:r>
        <w:rPr>
          <w:color w:val="000000" w:themeColor="text1"/>
          <w:lang w:val="en-US"/>
        </w:rPr>
        <w:t>A disclosure index to measure the extent of CG reporting by UAE listed corporations</w:t>
      </w:r>
      <w:r w:rsidRPr="00FA0B69">
        <w:rPr>
          <w:color w:val="000000" w:themeColor="text1"/>
          <w:lang w:val="en-US"/>
        </w:rPr>
        <w:t xml:space="preserve">, </w:t>
      </w:r>
      <w:r w:rsidRPr="00FA0B69">
        <w:rPr>
          <w:i/>
          <w:iCs/>
          <w:color w:val="000000" w:themeColor="text1"/>
          <w:lang w:val="en-US"/>
        </w:rPr>
        <w:t xml:space="preserve">Journal of </w:t>
      </w:r>
      <w:r>
        <w:rPr>
          <w:i/>
          <w:iCs/>
          <w:color w:val="000000" w:themeColor="text1"/>
          <w:lang w:val="en-US"/>
        </w:rPr>
        <w:t>Financial Reporting Accounting</w:t>
      </w:r>
      <w:r w:rsidRPr="00FA0B69">
        <w:rPr>
          <w:color w:val="000000" w:themeColor="text1"/>
          <w:lang w:val="en-US"/>
        </w:rPr>
        <w:t>, 10, pp.</w:t>
      </w:r>
      <w:r>
        <w:rPr>
          <w:color w:val="000000" w:themeColor="text1"/>
          <w:lang w:val="en-US"/>
        </w:rPr>
        <w:t>3</w:t>
      </w:r>
      <w:r w:rsidRPr="00FA0B69">
        <w:rPr>
          <w:color w:val="000000" w:themeColor="text1"/>
          <w:lang w:val="en-US"/>
        </w:rPr>
        <w:t>-</w:t>
      </w:r>
      <w:r>
        <w:rPr>
          <w:color w:val="000000" w:themeColor="text1"/>
          <w:lang w:val="en-US"/>
        </w:rPr>
        <w:t>44</w:t>
      </w:r>
      <w:r w:rsidRPr="00FA0B69">
        <w:rPr>
          <w:color w:val="000000" w:themeColor="text1"/>
          <w:lang w:val="en-US"/>
        </w:rPr>
        <w:t>.</w:t>
      </w:r>
    </w:p>
    <w:p w:rsidR="00693AF8" w:rsidRPr="00FA0B69" w:rsidRDefault="00693AF8" w:rsidP="00693AF8">
      <w:pPr>
        <w:tabs>
          <w:tab w:val="right" w:pos="720"/>
        </w:tabs>
        <w:ind w:left="527" w:hanging="527"/>
        <w:jc w:val="both"/>
        <w:rPr>
          <w:color w:val="000000" w:themeColor="text1"/>
          <w:lang w:val="en-US"/>
        </w:rPr>
      </w:pPr>
      <w:proofErr w:type="gramStart"/>
      <w:r w:rsidRPr="00FA0B69">
        <w:rPr>
          <w:color w:val="000000" w:themeColor="text1"/>
          <w:lang w:val="en-US"/>
        </w:rPr>
        <w:t xml:space="preserve">Hassan, M. K., </w:t>
      </w:r>
      <w:proofErr w:type="spellStart"/>
      <w:r w:rsidRPr="00FA0B69">
        <w:rPr>
          <w:color w:val="000000" w:themeColor="text1"/>
          <w:lang w:val="en-US"/>
        </w:rPr>
        <w:t>Mollah</w:t>
      </w:r>
      <w:proofErr w:type="spellEnd"/>
      <w:r w:rsidRPr="00FA0B69">
        <w:rPr>
          <w:color w:val="000000" w:themeColor="text1"/>
          <w:lang w:val="en-US"/>
        </w:rPr>
        <w:t xml:space="preserve">, S., (2012), Corporate governance, risk-taking and firm performance of Islamic banks during global financial crisis, </w:t>
      </w:r>
      <w:r w:rsidRPr="00FA0B69">
        <w:rPr>
          <w:i/>
          <w:iCs/>
          <w:color w:val="000000" w:themeColor="text1"/>
          <w:lang w:val="en-US"/>
        </w:rPr>
        <w:t>Working Paper</w:t>
      </w:r>
      <w:r w:rsidRPr="00FA0B69">
        <w:rPr>
          <w:color w:val="000000" w:themeColor="text1"/>
          <w:lang w:val="en-US"/>
        </w:rPr>
        <w:t>.</w:t>
      </w:r>
      <w:proofErr w:type="gramEnd"/>
    </w:p>
    <w:p w:rsidR="00693AF8" w:rsidRDefault="00693AF8" w:rsidP="00693AF8">
      <w:pPr>
        <w:tabs>
          <w:tab w:val="right" w:pos="720"/>
        </w:tabs>
        <w:ind w:left="527" w:hanging="527"/>
        <w:jc w:val="both"/>
        <w:rPr>
          <w:color w:val="000000" w:themeColor="text1"/>
          <w:lang w:val="en-US"/>
        </w:rPr>
      </w:pPr>
      <w:r>
        <w:rPr>
          <w:color w:val="000000" w:themeColor="text1"/>
          <w:lang w:val="en-US"/>
        </w:rPr>
        <w:t>Hossain</w:t>
      </w:r>
      <w:r w:rsidRPr="00FA0B69">
        <w:rPr>
          <w:color w:val="000000" w:themeColor="text1"/>
          <w:lang w:val="en-US"/>
        </w:rPr>
        <w:t>, M., (200</w:t>
      </w:r>
      <w:r>
        <w:rPr>
          <w:color w:val="000000" w:themeColor="text1"/>
          <w:lang w:val="en-US"/>
        </w:rPr>
        <w:t>8</w:t>
      </w:r>
      <w:r w:rsidRPr="00FA0B69">
        <w:rPr>
          <w:color w:val="000000" w:themeColor="text1"/>
          <w:lang w:val="en-US"/>
        </w:rPr>
        <w:t xml:space="preserve">), </w:t>
      </w:r>
      <w:proofErr w:type="gramStart"/>
      <w:r>
        <w:rPr>
          <w:color w:val="000000" w:themeColor="text1"/>
          <w:lang w:val="en-US"/>
        </w:rPr>
        <w:t>The</w:t>
      </w:r>
      <w:proofErr w:type="gramEnd"/>
      <w:r>
        <w:rPr>
          <w:color w:val="000000" w:themeColor="text1"/>
          <w:lang w:val="en-US"/>
        </w:rPr>
        <w:t xml:space="preserve"> extent of disclosure in annual reports of banking companies: The case of India</w:t>
      </w:r>
      <w:r w:rsidRPr="00FA0B69">
        <w:rPr>
          <w:color w:val="000000" w:themeColor="text1"/>
          <w:lang w:val="en-US"/>
        </w:rPr>
        <w:t xml:space="preserve">, </w:t>
      </w:r>
      <w:r>
        <w:rPr>
          <w:i/>
          <w:iCs/>
          <w:color w:val="000000" w:themeColor="text1"/>
          <w:lang w:val="en-US"/>
        </w:rPr>
        <w:t>European Journal of Scientific Research</w:t>
      </w:r>
      <w:r w:rsidRPr="00FA0B69">
        <w:rPr>
          <w:color w:val="000000" w:themeColor="text1"/>
          <w:lang w:val="en-US"/>
        </w:rPr>
        <w:t xml:space="preserve">, </w:t>
      </w:r>
      <w:r>
        <w:rPr>
          <w:color w:val="000000" w:themeColor="text1"/>
          <w:lang w:val="en-US"/>
        </w:rPr>
        <w:t>23</w:t>
      </w:r>
      <w:r w:rsidRPr="00FA0B69">
        <w:rPr>
          <w:color w:val="000000" w:themeColor="text1"/>
          <w:lang w:val="en-US"/>
        </w:rPr>
        <w:t>, pp.</w:t>
      </w:r>
      <w:r>
        <w:rPr>
          <w:color w:val="000000" w:themeColor="text1"/>
          <w:lang w:val="en-US"/>
        </w:rPr>
        <w:t>659</w:t>
      </w:r>
      <w:r w:rsidRPr="00FA0B69">
        <w:rPr>
          <w:color w:val="000000" w:themeColor="text1"/>
          <w:lang w:val="en-US"/>
        </w:rPr>
        <w:t>-</w:t>
      </w:r>
      <w:r>
        <w:rPr>
          <w:color w:val="000000" w:themeColor="text1"/>
          <w:lang w:val="en-US"/>
        </w:rPr>
        <w:t>680</w:t>
      </w:r>
      <w:r w:rsidRPr="00FA0B69">
        <w:rPr>
          <w:color w:val="000000" w:themeColor="text1"/>
          <w:lang w:val="en-US"/>
        </w:rPr>
        <w:t>.</w:t>
      </w:r>
    </w:p>
    <w:p w:rsidR="00693AF8" w:rsidRPr="00FA0B69" w:rsidRDefault="00693AF8" w:rsidP="00693AF8">
      <w:pPr>
        <w:tabs>
          <w:tab w:val="right" w:pos="720"/>
        </w:tabs>
        <w:ind w:left="527" w:hanging="527"/>
        <w:jc w:val="both"/>
        <w:rPr>
          <w:color w:val="000000" w:themeColor="text1"/>
          <w:lang w:val="en-US"/>
        </w:rPr>
      </w:pPr>
      <w:r w:rsidRPr="00FA0B69">
        <w:rPr>
          <w:color w:val="000000" w:themeColor="text1"/>
          <w:lang w:val="en-US"/>
        </w:rPr>
        <w:t>Hutchinson, M., (200</w:t>
      </w:r>
      <w:r>
        <w:rPr>
          <w:color w:val="000000" w:themeColor="text1"/>
          <w:lang w:val="en-US"/>
        </w:rPr>
        <w:t>2</w:t>
      </w:r>
      <w:r w:rsidRPr="00FA0B69">
        <w:rPr>
          <w:color w:val="000000" w:themeColor="text1"/>
          <w:lang w:val="en-US"/>
        </w:rPr>
        <w:t xml:space="preserve">), </w:t>
      </w:r>
      <w:proofErr w:type="gramStart"/>
      <w:r>
        <w:rPr>
          <w:color w:val="000000" w:themeColor="text1"/>
          <w:lang w:val="en-US"/>
        </w:rPr>
        <w:t>An</w:t>
      </w:r>
      <w:proofErr w:type="gramEnd"/>
      <w:r>
        <w:rPr>
          <w:color w:val="000000" w:themeColor="text1"/>
          <w:lang w:val="en-US"/>
        </w:rPr>
        <w:t xml:space="preserve"> analysis of the association between firms’ investment opportunities, board composition, and firm performance</w:t>
      </w:r>
      <w:r w:rsidRPr="00FA0B69">
        <w:rPr>
          <w:color w:val="000000" w:themeColor="text1"/>
          <w:lang w:val="en-US"/>
        </w:rPr>
        <w:t xml:space="preserve">, </w:t>
      </w:r>
      <w:r>
        <w:rPr>
          <w:i/>
          <w:iCs/>
          <w:color w:val="000000" w:themeColor="text1"/>
          <w:lang w:val="en-US"/>
        </w:rPr>
        <w:t>Asia Pacific Journal of Accounting and Economics</w:t>
      </w:r>
      <w:r w:rsidRPr="00FA0B69">
        <w:rPr>
          <w:color w:val="000000" w:themeColor="text1"/>
          <w:lang w:val="en-US"/>
        </w:rPr>
        <w:t xml:space="preserve">, </w:t>
      </w:r>
      <w:r>
        <w:rPr>
          <w:color w:val="000000" w:themeColor="text1"/>
          <w:lang w:val="en-US"/>
        </w:rPr>
        <w:t>9</w:t>
      </w:r>
      <w:r w:rsidRPr="00FA0B69">
        <w:rPr>
          <w:color w:val="000000" w:themeColor="text1"/>
          <w:lang w:val="en-US"/>
        </w:rPr>
        <w:t>, pp.</w:t>
      </w:r>
      <w:r>
        <w:rPr>
          <w:color w:val="000000" w:themeColor="text1"/>
          <w:lang w:val="en-US"/>
        </w:rPr>
        <w:t>17</w:t>
      </w:r>
      <w:r w:rsidRPr="00FA0B69">
        <w:rPr>
          <w:color w:val="000000" w:themeColor="text1"/>
          <w:lang w:val="en-US"/>
        </w:rPr>
        <w:t>-</w:t>
      </w:r>
      <w:r>
        <w:rPr>
          <w:color w:val="000000" w:themeColor="text1"/>
          <w:lang w:val="en-US"/>
        </w:rPr>
        <w:t>39</w:t>
      </w:r>
      <w:r w:rsidRPr="00FA0B69">
        <w:rPr>
          <w:color w:val="000000" w:themeColor="text1"/>
          <w:lang w:val="en-US"/>
        </w:rPr>
        <w:t>.</w:t>
      </w:r>
    </w:p>
    <w:p w:rsidR="00693AF8" w:rsidRPr="00FA0B69" w:rsidRDefault="00693AF8" w:rsidP="00693AF8">
      <w:pPr>
        <w:tabs>
          <w:tab w:val="right" w:pos="720"/>
        </w:tabs>
        <w:ind w:left="527" w:hanging="527"/>
        <w:jc w:val="both"/>
        <w:rPr>
          <w:color w:val="000000" w:themeColor="text1"/>
          <w:lang w:val="en-US"/>
        </w:rPr>
      </w:pPr>
      <w:proofErr w:type="gramStart"/>
      <w:r w:rsidRPr="00FA0B69">
        <w:rPr>
          <w:color w:val="000000" w:themeColor="text1"/>
          <w:lang w:val="en-US"/>
        </w:rPr>
        <w:t xml:space="preserve">Hutchinson, M., Gul, A., (2004), Investment opportunity set, corporate governance practices and firm performance, </w:t>
      </w:r>
      <w:r w:rsidRPr="00FA0B69">
        <w:rPr>
          <w:i/>
          <w:iCs/>
          <w:color w:val="000000" w:themeColor="text1"/>
          <w:lang w:val="en-US"/>
        </w:rPr>
        <w:t>Journal of Corporate Finance</w:t>
      </w:r>
      <w:r w:rsidRPr="00FA0B69">
        <w:rPr>
          <w:color w:val="000000" w:themeColor="text1"/>
          <w:lang w:val="en-US"/>
        </w:rPr>
        <w:t>, 10, pp.595-614.</w:t>
      </w:r>
      <w:proofErr w:type="gramEnd"/>
    </w:p>
    <w:p w:rsidR="00693AF8" w:rsidRPr="00FA0B69" w:rsidRDefault="00693AF8" w:rsidP="00693AF8">
      <w:pPr>
        <w:tabs>
          <w:tab w:val="right" w:pos="720"/>
        </w:tabs>
        <w:ind w:left="527" w:hanging="527"/>
        <w:jc w:val="both"/>
        <w:rPr>
          <w:color w:val="000000" w:themeColor="text1"/>
          <w:lang w:val="en-US"/>
        </w:rPr>
      </w:pPr>
      <w:r w:rsidRPr="00FA0B69">
        <w:rPr>
          <w:color w:val="000000" w:themeColor="text1"/>
          <w:lang w:val="en-US"/>
        </w:rPr>
        <w:t>Iqbal</w:t>
      </w:r>
      <w:proofErr w:type="gramStart"/>
      <w:r w:rsidRPr="00FA0B69">
        <w:rPr>
          <w:color w:val="000000" w:themeColor="text1"/>
          <w:lang w:val="en-US"/>
        </w:rPr>
        <w:t>,  Z</w:t>
      </w:r>
      <w:proofErr w:type="gramEnd"/>
      <w:r w:rsidRPr="00FA0B69">
        <w:rPr>
          <w:color w:val="000000" w:themeColor="text1"/>
          <w:lang w:val="en-US"/>
        </w:rPr>
        <w:t xml:space="preserve">., </w:t>
      </w:r>
      <w:proofErr w:type="spellStart"/>
      <w:r w:rsidRPr="00FA0B69">
        <w:rPr>
          <w:color w:val="000000" w:themeColor="text1"/>
          <w:lang w:val="en-US"/>
        </w:rPr>
        <w:t>Mirakhor</w:t>
      </w:r>
      <w:proofErr w:type="spellEnd"/>
      <w:r w:rsidRPr="00FA0B69">
        <w:rPr>
          <w:color w:val="000000" w:themeColor="text1"/>
          <w:lang w:val="en-US"/>
        </w:rPr>
        <w:t xml:space="preserve">, A., (2004), Stakeholders model of governance in Islamic economic system,  </w:t>
      </w:r>
      <w:r w:rsidRPr="00FA0B69">
        <w:rPr>
          <w:i/>
          <w:iCs/>
          <w:color w:val="000000" w:themeColor="text1"/>
          <w:lang w:val="en-US"/>
        </w:rPr>
        <w:t>Islamic Economic Studies</w:t>
      </w:r>
      <w:r w:rsidRPr="00FA0B69">
        <w:rPr>
          <w:color w:val="000000" w:themeColor="text1"/>
          <w:lang w:val="en-US"/>
        </w:rPr>
        <w:t>, 2, pp.43-64.</w:t>
      </w:r>
    </w:p>
    <w:p w:rsidR="00693AF8" w:rsidRPr="00FA0B69" w:rsidRDefault="00693AF8" w:rsidP="00693AF8">
      <w:pPr>
        <w:tabs>
          <w:tab w:val="right" w:pos="720"/>
        </w:tabs>
        <w:ind w:left="527" w:hanging="527"/>
        <w:jc w:val="both"/>
        <w:rPr>
          <w:color w:val="000000" w:themeColor="text1"/>
          <w:lang w:val="en-US"/>
        </w:rPr>
      </w:pPr>
      <w:r w:rsidRPr="00FA0B69">
        <w:rPr>
          <w:color w:val="000000" w:themeColor="text1"/>
          <w:lang w:val="en-US"/>
        </w:rPr>
        <w:t xml:space="preserve">Jensen, </w:t>
      </w:r>
      <w:proofErr w:type="gramStart"/>
      <w:r w:rsidRPr="00FA0B69">
        <w:rPr>
          <w:color w:val="000000" w:themeColor="text1"/>
          <w:lang w:val="en-US"/>
        </w:rPr>
        <w:t>MC.,</w:t>
      </w:r>
      <w:proofErr w:type="gramEnd"/>
      <w:r w:rsidRPr="00FA0B69">
        <w:rPr>
          <w:color w:val="000000" w:themeColor="text1"/>
          <w:lang w:val="en-US"/>
        </w:rPr>
        <w:t xml:space="preserve"> (1993), The modern industrial revolution, exit and failure of internal control system, </w:t>
      </w:r>
      <w:r w:rsidRPr="00FA0B69">
        <w:rPr>
          <w:i/>
          <w:color w:val="000000" w:themeColor="text1"/>
          <w:lang w:val="en-US"/>
        </w:rPr>
        <w:t>Journal of Finance</w:t>
      </w:r>
      <w:r w:rsidRPr="00FA0B69">
        <w:rPr>
          <w:color w:val="000000" w:themeColor="text1"/>
          <w:lang w:val="en-US"/>
        </w:rPr>
        <w:t>, 48, pp.831-880.</w:t>
      </w:r>
    </w:p>
    <w:p w:rsidR="00693AF8" w:rsidRPr="00FA0B69" w:rsidRDefault="00693AF8" w:rsidP="00693AF8">
      <w:pPr>
        <w:tabs>
          <w:tab w:val="right" w:pos="720"/>
        </w:tabs>
        <w:ind w:left="527" w:hanging="527"/>
        <w:jc w:val="both"/>
        <w:rPr>
          <w:color w:val="000000" w:themeColor="text1"/>
          <w:lang w:val="en-US"/>
        </w:rPr>
      </w:pPr>
      <w:r w:rsidRPr="00FA0B69">
        <w:rPr>
          <w:color w:val="000000" w:themeColor="text1"/>
          <w:lang w:val="en-US"/>
        </w:rPr>
        <w:t>Johnson</w:t>
      </w:r>
      <w:proofErr w:type="gramStart"/>
      <w:r w:rsidRPr="00FA0B69">
        <w:rPr>
          <w:color w:val="000000" w:themeColor="text1"/>
          <w:lang w:val="en-US"/>
        </w:rPr>
        <w:t>,  L</w:t>
      </w:r>
      <w:proofErr w:type="gramEnd"/>
      <w:r w:rsidRPr="00FA0B69">
        <w:rPr>
          <w:color w:val="000000" w:themeColor="text1"/>
          <w:lang w:val="en-US"/>
        </w:rPr>
        <w:t xml:space="preserve">., Daily, C., </w:t>
      </w:r>
      <w:proofErr w:type="spellStart"/>
      <w:r w:rsidRPr="00FA0B69">
        <w:rPr>
          <w:color w:val="000000" w:themeColor="text1"/>
          <w:lang w:val="en-US"/>
        </w:rPr>
        <w:t>Ellstrand</w:t>
      </w:r>
      <w:proofErr w:type="spellEnd"/>
      <w:r w:rsidRPr="00FA0B69">
        <w:rPr>
          <w:color w:val="000000" w:themeColor="text1"/>
          <w:lang w:val="en-US"/>
        </w:rPr>
        <w:t xml:space="preserve">, A., (1996), Board of directors: A review and research agenda, </w:t>
      </w:r>
      <w:r w:rsidRPr="00FA0B69">
        <w:rPr>
          <w:i/>
          <w:iCs/>
          <w:color w:val="000000" w:themeColor="text1"/>
          <w:lang w:val="en-US"/>
        </w:rPr>
        <w:t>Journal of Management</w:t>
      </w:r>
      <w:r w:rsidRPr="00FA0B69">
        <w:rPr>
          <w:color w:val="000000" w:themeColor="text1"/>
          <w:lang w:val="en-US"/>
        </w:rPr>
        <w:t>, 22, pp.409-438.</w:t>
      </w:r>
    </w:p>
    <w:p w:rsidR="00693AF8" w:rsidRPr="00FA0B69" w:rsidRDefault="00693AF8" w:rsidP="00693AF8">
      <w:pPr>
        <w:tabs>
          <w:tab w:val="right" w:pos="720"/>
        </w:tabs>
        <w:ind w:left="527" w:hanging="527"/>
        <w:jc w:val="both"/>
        <w:rPr>
          <w:color w:val="000000" w:themeColor="text1"/>
          <w:lang w:val="en-US"/>
        </w:rPr>
      </w:pPr>
      <w:proofErr w:type="gramStart"/>
      <w:r>
        <w:rPr>
          <w:color w:val="000000" w:themeColor="text1"/>
          <w:lang w:val="en-US"/>
        </w:rPr>
        <w:lastRenderedPageBreak/>
        <w:t xml:space="preserve">John, </w:t>
      </w:r>
      <w:r w:rsidRPr="00FA0B69">
        <w:rPr>
          <w:color w:val="000000" w:themeColor="text1"/>
          <w:lang w:val="en-US"/>
        </w:rPr>
        <w:t xml:space="preserve">K., </w:t>
      </w:r>
      <w:proofErr w:type="spellStart"/>
      <w:r w:rsidRPr="00FA0B69">
        <w:rPr>
          <w:color w:val="000000" w:themeColor="text1"/>
          <w:lang w:val="en-US"/>
        </w:rPr>
        <w:t>Senbet</w:t>
      </w:r>
      <w:proofErr w:type="spellEnd"/>
      <w:r w:rsidRPr="00FA0B69">
        <w:rPr>
          <w:color w:val="000000" w:themeColor="text1"/>
          <w:lang w:val="en-US"/>
        </w:rPr>
        <w:t xml:space="preserve">, L., (1998), Corporate governance and board effectiveness, </w:t>
      </w:r>
      <w:r w:rsidRPr="00FA0B69">
        <w:rPr>
          <w:i/>
          <w:iCs/>
          <w:color w:val="000000" w:themeColor="text1"/>
          <w:lang w:val="en-US"/>
        </w:rPr>
        <w:t>Journal of Banking and Finance</w:t>
      </w:r>
      <w:r w:rsidRPr="00FA0B69">
        <w:rPr>
          <w:color w:val="000000" w:themeColor="text1"/>
          <w:lang w:val="en-US"/>
        </w:rPr>
        <w:t>, 22, pp.371-403.</w:t>
      </w:r>
      <w:proofErr w:type="gramEnd"/>
    </w:p>
    <w:p w:rsidR="00693AF8" w:rsidRPr="00FA0B69" w:rsidRDefault="00693AF8" w:rsidP="00693AF8">
      <w:pPr>
        <w:tabs>
          <w:tab w:val="right" w:pos="720"/>
        </w:tabs>
        <w:ind w:left="527" w:hanging="527"/>
        <w:jc w:val="both"/>
        <w:rPr>
          <w:color w:val="000000" w:themeColor="text1"/>
          <w:lang w:val="en-US"/>
        </w:rPr>
      </w:pPr>
      <w:r w:rsidRPr="00FA0B69">
        <w:rPr>
          <w:color w:val="000000" w:themeColor="text1"/>
          <w:lang w:val="en-US"/>
        </w:rPr>
        <w:t xml:space="preserve">Kirkpatrick, G., (2009), </w:t>
      </w:r>
      <w:proofErr w:type="gramStart"/>
      <w:r w:rsidRPr="00FA0B69">
        <w:rPr>
          <w:color w:val="000000" w:themeColor="text1"/>
          <w:lang w:val="en-US"/>
        </w:rPr>
        <w:t>The</w:t>
      </w:r>
      <w:proofErr w:type="gramEnd"/>
      <w:r w:rsidRPr="00FA0B69">
        <w:rPr>
          <w:color w:val="000000" w:themeColor="text1"/>
          <w:lang w:val="en-US"/>
        </w:rPr>
        <w:t xml:space="preserve"> corporate governance lessons from the financial crisis, </w:t>
      </w:r>
      <w:r w:rsidRPr="00FA0B69">
        <w:rPr>
          <w:i/>
          <w:iCs/>
          <w:color w:val="000000" w:themeColor="text1"/>
          <w:lang w:val="en-US"/>
        </w:rPr>
        <w:t>Working Paper 1</w:t>
      </w:r>
      <w:r w:rsidRPr="00FA0B69">
        <w:rPr>
          <w:color w:val="000000" w:themeColor="text1"/>
          <w:lang w:val="en-US"/>
        </w:rPr>
        <w:t>, OECD.</w:t>
      </w:r>
    </w:p>
    <w:p w:rsidR="00693AF8" w:rsidRPr="00FA0B69" w:rsidRDefault="00693AF8" w:rsidP="00693AF8">
      <w:pPr>
        <w:tabs>
          <w:tab w:val="right" w:pos="720"/>
        </w:tabs>
        <w:ind w:left="527" w:hanging="527"/>
        <w:jc w:val="both"/>
        <w:rPr>
          <w:color w:val="000000" w:themeColor="text1"/>
          <w:lang w:val="en-US"/>
        </w:rPr>
      </w:pPr>
      <w:proofErr w:type="spellStart"/>
      <w:r w:rsidRPr="00FA0B69">
        <w:rPr>
          <w:color w:val="000000" w:themeColor="text1"/>
          <w:lang w:val="en-US"/>
        </w:rPr>
        <w:t>Klapper</w:t>
      </w:r>
      <w:proofErr w:type="spellEnd"/>
      <w:r w:rsidRPr="00FA0B69">
        <w:rPr>
          <w:color w:val="000000" w:themeColor="text1"/>
          <w:lang w:val="en-US"/>
        </w:rPr>
        <w:t xml:space="preserve">, F., Love, I., (2004), </w:t>
      </w:r>
      <w:proofErr w:type="gramStart"/>
      <w:r w:rsidRPr="00FA0B69">
        <w:rPr>
          <w:color w:val="000000" w:themeColor="text1"/>
          <w:lang w:val="en-US"/>
        </w:rPr>
        <w:t>Corporate</w:t>
      </w:r>
      <w:proofErr w:type="gramEnd"/>
      <w:r w:rsidRPr="00FA0B69">
        <w:rPr>
          <w:color w:val="000000" w:themeColor="text1"/>
          <w:lang w:val="en-US"/>
        </w:rPr>
        <w:t xml:space="preserve"> governance, investor protection and performance in emerging markets, </w:t>
      </w:r>
      <w:r w:rsidRPr="00FA0B69">
        <w:rPr>
          <w:i/>
          <w:color w:val="000000" w:themeColor="text1"/>
          <w:lang w:val="en-US"/>
        </w:rPr>
        <w:t>Journal of Corporate Finance</w:t>
      </w:r>
      <w:r w:rsidRPr="00FA0B69">
        <w:rPr>
          <w:color w:val="000000" w:themeColor="text1"/>
          <w:lang w:val="en-US"/>
        </w:rPr>
        <w:t>, 10, pp.703-728.</w:t>
      </w:r>
    </w:p>
    <w:p w:rsidR="00693AF8" w:rsidRPr="00FA0B69" w:rsidRDefault="00693AF8" w:rsidP="00693AF8">
      <w:pPr>
        <w:tabs>
          <w:tab w:val="right" w:pos="720"/>
        </w:tabs>
        <w:ind w:left="527" w:hanging="527"/>
        <w:jc w:val="both"/>
        <w:rPr>
          <w:color w:val="000000" w:themeColor="text1"/>
          <w:lang w:val="en-US"/>
        </w:rPr>
      </w:pPr>
      <w:r w:rsidRPr="00FA0B69">
        <w:rPr>
          <w:color w:val="000000" w:themeColor="text1"/>
          <w:lang w:val="en-US"/>
        </w:rPr>
        <w:t xml:space="preserve">Klein, A., (2002), Audit committee, board of director characteristics, and earning management, </w:t>
      </w:r>
      <w:r w:rsidRPr="00FA0B69">
        <w:rPr>
          <w:i/>
          <w:color w:val="000000" w:themeColor="text1"/>
          <w:lang w:val="en-US"/>
        </w:rPr>
        <w:t>Journal of Accounting and Economics</w:t>
      </w:r>
      <w:r w:rsidRPr="00FA0B69">
        <w:rPr>
          <w:color w:val="000000" w:themeColor="text1"/>
          <w:lang w:val="en-US"/>
        </w:rPr>
        <w:t>, 3, pp.375-400.</w:t>
      </w:r>
    </w:p>
    <w:p w:rsidR="00693AF8" w:rsidRPr="00FA0B69" w:rsidRDefault="00693AF8" w:rsidP="00693AF8">
      <w:pPr>
        <w:tabs>
          <w:tab w:val="right" w:pos="720"/>
        </w:tabs>
        <w:ind w:left="527" w:hanging="527"/>
        <w:jc w:val="both"/>
        <w:rPr>
          <w:color w:val="000000" w:themeColor="text1"/>
          <w:lang w:val="en-US"/>
        </w:rPr>
      </w:pPr>
      <w:r w:rsidRPr="00FA0B69">
        <w:rPr>
          <w:color w:val="000000" w:themeColor="text1"/>
          <w:lang w:val="en-US"/>
        </w:rPr>
        <w:t xml:space="preserve">Klein, A., (1998), Firm performance and board committee structure, </w:t>
      </w:r>
      <w:r w:rsidRPr="00FA0B69">
        <w:rPr>
          <w:i/>
          <w:color w:val="000000" w:themeColor="text1"/>
          <w:lang w:val="en-US"/>
        </w:rPr>
        <w:t>Journal of Law and Economics</w:t>
      </w:r>
      <w:r w:rsidRPr="00FA0B69">
        <w:rPr>
          <w:color w:val="000000" w:themeColor="text1"/>
          <w:lang w:val="en-US"/>
        </w:rPr>
        <w:t>, 41, pp.275-303.</w:t>
      </w:r>
    </w:p>
    <w:p w:rsidR="00693AF8" w:rsidRPr="00FA0B69" w:rsidRDefault="00693AF8" w:rsidP="00693AF8">
      <w:pPr>
        <w:tabs>
          <w:tab w:val="right" w:pos="720"/>
        </w:tabs>
        <w:ind w:left="527" w:hanging="527"/>
        <w:jc w:val="both"/>
        <w:rPr>
          <w:color w:val="000000" w:themeColor="text1"/>
          <w:lang w:val="en-US"/>
        </w:rPr>
      </w:pPr>
      <w:r w:rsidRPr="00FA0B69">
        <w:rPr>
          <w:color w:val="000000" w:themeColor="text1"/>
          <w:lang w:val="en-US"/>
        </w:rPr>
        <w:t xml:space="preserve">Klein, P., Shapiro, D., Young, J., (2005), Corporate governance, family ownership and firm value, </w:t>
      </w:r>
      <w:r w:rsidRPr="00FA0B69">
        <w:rPr>
          <w:i/>
          <w:color w:val="000000" w:themeColor="text1"/>
          <w:lang w:val="en-US"/>
        </w:rPr>
        <w:t>Corporate governance</w:t>
      </w:r>
      <w:r>
        <w:rPr>
          <w:i/>
          <w:color w:val="000000" w:themeColor="text1"/>
          <w:lang w:val="en-US"/>
        </w:rPr>
        <w:t>: An International Review</w:t>
      </w:r>
      <w:r>
        <w:rPr>
          <w:color w:val="000000" w:themeColor="text1"/>
          <w:lang w:val="en-US"/>
        </w:rPr>
        <w:t>, 6, pp.769-784</w:t>
      </w:r>
      <w:r w:rsidRPr="00FA0B69">
        <w:rPr>
          <w:color w:val="000000" w:themeColor="text1"/>
          <w:lang w:val="en-US"/>
        </w:rPr>
        <w:t>.</w:t>
      </w:r>
    </w:p>
    <w:p w:rsidR="00693AF8" w:rsidRPr="00FA0B69" w:rsidRDefault="00693AF8" w:rsidP="00693AF8">
      <w:pPr>
        <w:tabs>
          <w:tab w:val="right" w:pos="720"/>
        </w:tabs>
        <w:ind w:left="527" w:hanging="527"/>
        <w:jc w:val="both"/>
        <w:rPr>
          <w:color w:val="000000" w:themeColor="text1"/>
          <w:lang w:val="en-US"/>
        </w:rPr>
      </w:pPr>
      <w:r>
        <w:rPr>
          <w:color w:val="000000" w:themeColor="text1"/>
          <w:lang w:val="en-US"/>
        </w:rPr>
        <w:t>Lee</w:t>
      </w:r>
      <w:r w:rsidRPr="00FA0B69">
        <w:rPr>
          <w:color w:val="000000" w:themeColor="text1"/>
          <w:lang w:val="en-US"/>
        </w:rPr>
        <w:t xml:space="preserve">, </w:t>
      </w:r>
      <w:r>
        <w:rPr>
          <w:color w:val="000000" w:themeColor="text1"/>
          <w:lang w:val="en-US"/>
        </w:rPr>
        <w:t>C</w:t>
      </w:r>
      <w:r w:rsidRPr="00FA0B69">
        <w:rPr>
          <w:color w:val="000000" w:themeColor="text1"/>
          <w:lang w:val="en-US"/>
        </w:rPr>
        <w:t xml:space="preserve">., </w:t>
      </w:r>
      <w:r>
        <w:rPr>
          <w:color w:val="000000" w:themeColor="text1"/>
          <w:lang w:val="en-US"/>
        </w:rPr>
        <w:t>Rosenstein</w:t>
      </w:r>
      <w:r w:rsidRPr="00FA0B69">
        <w:rPr>
          <w:color w:val="000000" w:themeColor="text1"/>
          <w:lang w:val="en-US"/>
        </w:rPr>
        <w:t xml:space="preserve">, </w:t>
      </w:r>
      <w:r>
        <w:rPr>
          <w:color w:val="000000" w:themeColor="text1"/>
          <w:lang w:val="en-US"/>
        </w:rPr>
        <w:t>S</w:t>
      </w:r>
      <w:r w:rsidRPr="00FA0B69">
        <w:rPr>
          <w:color w:val="000000" w:themeColor="text1"/>
          <w:lang w:val="en-US"/>
        </w:rPr>
        <w:t xml:space="preserve">., </w:t>
      </w:r>
      <w:r>
        <w:rPr>
          <w:color w:val="000000" w:themeColor="text1"/>
          <w:lang w:val="en-US"/>
        </w:rPr>
        <w:t>Rangan</w:t>
      </w:r>
      <w:r w:rsidRPr="00FA0B69">
        <w:rPr>
          <w:color w:val="000000" w:themeColor="text1"/>
          <w:lang w:val="en-US"/>
        </w:rPr>
        <w:t xml:space="preserve">, </w:t>
      </w:r>
      <w:r>
        <w:rPr>
          <w:color w:val="000000" w:themeColor="text1"/>
          <w:lang w:val="en-US"/>
        </w:rPr>
        <w:t>N</w:t>
      </w:r>
      <w:r w:rsidRPr="00FA0B69">
        <w:rPr>
          <w:color w:val="000000" w:themeColor="text1"/>
          <w:lang w:val="en-US"/>
        </w:rPr>
        <w:t>.</w:t>
      </w:r>
      <w:proofErr w:type="gramStart"/>
      <w:r w:rsidRPr="00FA0B69">
        <w:rPr>
          <w:color w:val="000000" w:themeColor="text1"/>
          <w:lang w:val="en-US"/>
        </w:rPr>
        <w:t>,</w:t>
      </w:r>
      <w:r>
        <w:rPr>
          <w:color w:val="000000" w:themeColor="text1"/>
          <w:lang w:val="en-US"/>
        </w:rPr>
        <w:t>&amp;</w:t>
      </w:r>
      <w:proofErr w:type="gramEnd"/>
      <w:r>
        <w:rPr>
          <w:color w:val="000000" w:themeColor="text1"/>
          <w:lang w:val="en-US"/>
        </w:rPr>
        <w:t xml:space="preserve"> Davidson III, W.,</w:t>
      </w:r>
      <w:r w:rsidRPr="00FA0B69">
        <w:rPr>
          <w:color w:val="000000" w:themeColor="text1"/>
          <w:lang w:val="en-US"/>
        </w:rPr>
        <w:t xml:space="preserve"> (</w:t>
      </w:r>
      <w:r>
        <w:rPr>
          <w:color w:val="000000" w:themeColor="text1"/>
          <w:lang w:val="en-US"/>
        </w:rPr>
        <w:t>1992</w:t>
      </w:r>
      <w:r w:rsidRPr="00FA0B69">
        <w:rPr>
          <w:color w:val="000000" w:themeColor="text1"/>
          <w:lang w:val="en-US"/>
        </w:rPr>
        <w:t xml:space="preserve">), </w:t>
      </w:r>
      <w:r>
        <w:rPr>
          <w:color w:val="000000" w:themeColor="text1"/>
          <w:lang w:val="en-US"/>
        </w:rPr>
        <w:t>Board composition and shareholder wealth: the case of management buyouts</w:t>
      </w:r>
      <w:r w:rsidRPr="00FA0B69">
        <w:rPr>
          <w:color w:val="000000" w:themeColor="text1"/>
          <w:lang w:val="en-US"/>
        </w:rPr>
        <w:t xml:space="preserve">, </w:t>
      </w:r>
      <w:r>
        <w:rPr>
          <w:i/>
          <w:color w:val="000000" w:themeColor="text1"/>
          <w:lang w:val="en-US"/>
        </w:rPr>
        <w:t>Financial Management</w:t>
      </w:r>
      <w:r>
        <w:rPr>
          <w:color w:val="000000" w:themeColor="text1"/>
          <w:lang w:val="en-US"/>
        </w:rPr>
        <w:t>, 21, pp.58-72</w:t>
      </w:r>
      <w:r w:rsidRPr="00FA0B69">
        <w:rPr>
          <w:color w:val="000000" w:themeColor="text1"/>
          <w:lang w:val="en-US"/>
        </w:rPr>
        <w:t>.</w:t>
      </w:r>
    </w:p>
    <w:p w:rsidR="00693AF8" w:rsidRPr="00FA0B69" w:rsidRDefault="00693AF8" w:rsidP="00693AF8">
      <w:pPr>
        <w:tabs>
          <w:tab w:val="right" w:pos="720"/>
        </w:tabs>
        <w:ind w:left="527" w:hanging="527"/>
        <w:jc w:val="both"/>
        <w:rPr>
          <w:color w:val="000000" w:themeColor="text1"/>
          <w:lang w:val="en-US"/>
        </w:rPr>
      </w:pPr>
      <w:r w:rsidRPr="00FA0B69">
        <w:rPr>
          <w:color w:val="000000" w:themeColor="text1"/>
          <w:lang w:val="en-US"/>
        </w:rPr>
        <w:t xml:space="preserve">Levine, R., (2004), </w:t>
      </w:r>
      <w:proofErr w:type="gramStart"/>
      <w:r w:rsidRPr="00FA0B69">
        <w:rPr>
          <w:color w:val="000000" w:themeColor="text1"/>
          <w:lang w:val="en-US"/>
        </w:rPr>
        <w:t>The</w:t>
      </w:r>
      <w:proofErr w:type="gramEnd"/>
      <w:r w:rsidRPr="00FA0B69">
        <w:rPr>
          <w:color w:val="000000" w:themeColor="text1"/>
          <w:lang w:val="en-US"/>
        </w:rPr>
        <w:t xml:space="preserve"> corporate governance of banks: A concise discussion of concepts and evidence, </w:t>
      </w:r>
      <w:r w:rsidRPr="00FA0B69">
        <w:rPr>
          <w:i/>
          <w:iCs/>
          <w:color w:val="000000" w:themeColor="text1"/>
          <w:lang w:val="en-US"/>
        </w:rPr>
        <w:t>Working Paper 3404</w:t>
      </w:r>
      <w:r w:rsidRPr="00FA0B69">
        <w:rPr>
          <w:color w:val="000000" w:themeColor="text1"/>
          <w:lang w:val="en-US"/>
        </w:rPr>
        <w:t>, World Bank Policy Research, September.</w:t>
      </w:r>
    </w:p>
    <w:p w:rsidR="00693AF8" w:rsidRPr="00FA0B69" w:rsidRDefault="00693AF8" w:rsidP="00693AF8">
      <w:pPr>
        <w:tabs>
          <w:tab w:val="right" w:pos="720"/>
        </w:tabs>
        <w:ind w:left="527" w:hanging="527"/>
        <w:jc w:val="both"/>
        <w:rPr>
          <w:color w:val="000000" w:themeColor="text1"/>
          <w:lang w:val="en-US"/>
        </w:rPr>
      </w:pPr>
      <w:proofErr w:type="gramStart"/>
      <w:r w:rsidRPr="00FA0B69">
        <w:rPr>
          <w:color w:val="000000" w:themeColor="text1"/>
          <w:lang w:val="en-US"/>
        </w:rPr>
        <w:t xml:space="preserve">Mohamed, S. A., (2007), A mini guides to </w:t>
      </w:r>
      <w:proofErr w:type="spellStart"/>
      <w:r w:rsidRPr="00FA0B69">
        <w:rPr>
          <w:color w:val="000000" w:themeColor="text1"/>
          <w:lang w:val="en-US"/>
        </w:rPr>
        <w:t>Shari’ah</w:t>
      </w:r>
      <w:proofErr w:type="spellEnd"/>
      <w:r w:rsidRPr="00FA0B69">
        <w:rPr>
          <w:color w:val="000000" w:themeColor="text1"/>
          <w:lang w:val="en-US"/>
        </w:rPr>
        <w:t xml:space="preserve"> audit for Islamic financial institutions, CERT Publications, Kuala Lumpur.</w:t>
      </w:r>
      <w:proofErr w:type="gramEnd"/>
    </w:p>
    <w:p w:rsidR="00693AF8" w:rsidRPr="00FA0B69" w:rsidRDefault="00693AF8" w:rsidP="00693AF8">
      <w:pPr>
        <w:tabs>
          <w:tab w:val="right" w:pos="720"/>
        </w:tabs>
        <w:ind w:left="527" w:hanging="527"/>
        <w:jc w:val="both"/>
        <w:rPr>
          <w:rFonts w:asciiTheme="majorBidi" w:hAnsiTheme="majorBidi" w:cstheme="majorBidi"/>
          <w:color w:val="000000" w:themeColor="text1"/>
          <w:lang w:val="en-US"/>
        </w:rPr>
      </w:pPr>
      <w:proofErr w:type="spellStart"/>
      <w:r w:rsidRPr="00FA0B69">
        <w:rPr>
          <w:rFonts w:asciiTheme="majorBidi" w:hAnsiTheme="majorBidi" w:cstheme="majorBidi"/>
          <w:color w:val="000000" w:themeColor="text1"/>
          <w:lang w:val="en-US"/>
        </w:rPr>
        <w:t>Nienhaus</w:t>
      </w:r>
      <w:proofErr w:type="spellEnd"/>
      <w:r w:rsidRPr="00FA0B69">
        <w:rPr>
          <w:rFonts w:asciiTheme="majorBidi" w:hAnsiTheme="majorBidi" w:cstheme="majorBidi"/>
          <w:color w:val="000000" w:themeColor="text1"/>
          <w:lang w:val="en-US"/>
        </w:rPr>
        <w:t xml:space="preserve">, V., (2007), Human Resource Management of Islamic Banks: Responses to Conceptual and Technical Challenges, in Simon Archer and R.A.A. Karim (eds.), Islamic Finance: The Regulatory Challenge. </w:t>
      </w:r>
      <w:proofErr w:type="spellStart"/>
      <w:r w:rsidRPr="00FA0B69">
        <w:rPr>
          <w:rFonts w:asciiTheme="majorBidi" w:hAnsiTheme="majorBidi" w:cstheme="majorBidi"/>
          <w:color w:val="000000" w:themeColor="text1"/>
          <w:lang w:val="en-US"/>
        </w:rPr>
        <w:t>Chichester</w:t>
      </w:r>
      <w:proofErr w:type="spellEnd"/>
      <w:r w:rsidRPr="00FA0B69">
        <w:rPr>
          <w:rFonts w:asciiTheme="majorBidi" w:hAnsiTheme="majorBidi" w:cstheme="majorBidi"/>
          <w:color w:val="000000" w:themeColor="text1"/>
          <w:lang w:val="en-US"/>
        </w:rPr>
        <w:t xml:space="preserve">: John Wiley &amp; Sons (Asia) </w:t>
      </w:r>
      <w:proofErr w:type="spellStart"/>
      <w:r w:rsidRPr="00FA0B69">
        <w:rPr>
          <w:rFonts w:asciiTheme="majorBidi" w:hAnsiTheme="majorBidi" w:cstheme="majorBidi"/>
          <w:color w:val="000000" w:themeColor="text1"/>
          <w:lang w:val="en-US"/>
        </w:rPr>
        <w:t>Pte</w:t>
      </w:r>
      <w:proofErr w:type="spellEnd"/>
      <w:r w:rsidRPr="00FA0B69">
        <w:rPr>
          <w:rFonts w:asciiTheme="majorBidi" w:hAnsiTheme="majorBidi" w:cstheme="majorBidi"/>
          <w:color w:val="000000" w:themeColor="text1"/>
          <w:lang w:val="en-US"/>
        </w:rPr>
        <w:t xml:space="preserve"> Ltd.</w:t>
      </w:r>
    </w:p>
    <w:p w:rsidR="00693AF8" w:rsidRPr="00FA0B69" w:rsidRDefault="00693AF8" w:rsidP="00693AF8">
      <w:pPr>
        <w:tabs>
          <w:tab w:val="right" w:pos="720"/>
        </w:tabs>
        <w:ind w:left="527" w:hanging="527"/>
        <w:jc w:val="both"/>
        <w:rPr>
          <w:color w:val="000000" w:themeColor="text1"/>
          <w:lang w:val="en-US"/>
        </w:rPr>
      </w:pPr>
      <w:proofErr w:type="gramStart"/>
      <w:r w:rsidRPr="00FA0B69">
        <w:rPr>
          <w:color w:val="000000" w:themeColor="text1"/>
          <w:lang w:val="en-US"/>
        </w:rPr>
        <w:t>OECD (2014), Principles of corporate governance, www.oecd.org/daf/governance/principles/html.</w:t>
      </w:r>
      <w:proofErr w:type="gramEnd"/>
    </w:p>
    <w:p w:rsidR="00693AF8" w:rsidRPr="00FA0B69" w:rsidRDefault="00693AF8" w:rsidP="00693AF8">
      <w:pPr>
        <w:tabs>
          <w:tab w:val="right" w:pos="720"/>
        </w:tabs>
        <w:ind w:left="527" w:hanging="527"/>
        <w:jc w:val="both"/>
        <w:rPr>
          <w:color w:val="000000" w:themeColor="text1"/>
          <w:lang w:val="en-US"/>
        </w:rPr>
      </w:pPr>
      <w:proofErr w:type="spellStart"/>
      <w:r w:rsidRPr="00FA0B69">
        <w:rPr>
          <w:color w:val="000000" w:themeColor="text1"/>
          <w:lang w:val="en-US"/>
        </w:rPr>
        <w:t>Pasiouras</w:t>
      </w:r>
      <w:proofErr w:type="spellEnd"/>
      <w:r w:rsidRPr="00FA0B69">
        <w:rPr>
          <w:color w:val="000000" w:themeColor="text1"/>
          <w:lang w:val="en-US"/>
        </w:rPr>
        <w:t xml:space="preserve">, F., </w:t>
      </w:r>
      <w:proofErr w:type="spellStart"/>
      <w:r w:rsidRPr="00FA0B69">
        <w:rPr>
          <w:color w:val="000000" w:themeColor="text1"/>
          <w:lang w:val="en-US"/>
        </w:rPr>
        <w:t>Kosmidou</w:t>
      </w:r>
      <w:proofErr w:type="spellEnd"/>
      <w:r w:rsidRPr="00FA0B69">
        <w:rPr>
          <w:color w:val="000000" w:themeColor="text1"/>
          <w:lang w:val="en-US"/>
        </w:rPr>
        <w:t xml:space="preserve">, K., (2007), Factors influencing the profitability of domestic and foreign commercial banks in the European Union, </w:t>
      </w:r>
      <w:r w:rsidRPr="00FA0B69">
        <w:rPr>
          <w:i/>
          <w:iCs/>
          <w:color w:val="000000" w:themeColor="text1"/>
          <w:lang w:val="en-US"/>
        </w:rPr>
        <w:t>Research in International Business and Finance</w:t>
      </w:r>
      <w:r w:rsidRPr="00FA0B69">
        <w:rPr>
          <w:color w:val="000000" w:themeColor="text1"/>
          <w:lang w:val="en-US"/>
        </w:rPr>
        <w:t>, 21, pp.223-237.</w:t>
      </w:r>
    </w:p>
    <w:p w:rsidR="00693AF8" w:rsidRPr="00FA0B69" w:rsidRDefault="00693AF8" w:rsidP="00693AF8">
      <w:pPr>
        <w:tabs>
          <w:tab w:val="right" w:pos="720"/>
        </w:tabs>
        <w:ind w:left="527" w:hanging="527"/>
        <w:jc w:val="both"/>
        <w:rPr>
          <w:rFonts w:asciiTheme="majorBidi" w:hAnsiTheme="majorBidi" w:cstheme="majorBidi"/>
          <w:color w:val="000000" w:themeColor="text1"/>
          <w:lang w:val="en-US"/>
        </w:rPr>
      </w:pPr>
      <w:r>
        <w:rPr>
          <w:rFonts w:asciiTheme="majorBidi" w:hAnsiTheme="majorBidi" w:cstheme="majorBidi"/>
          <w:color w:val="000000" w:themeColor="text1"/>
          <w:lang w:val="en-US"/>
        </w:rPr>
        <w:t xml:space="preserve">Patel, S., </w:t>
      </w:r>
      <w:proofErr w:type="spellStart"/>
      <w:r>
        <w:rPr>
          <w:rFonts w:asciiTheme="majorBidi" w:hAnsiTheme="majorBidi" w:cstheme="majorBidi"/>
          <w:color w:val="000000" w:themeColor="text1"/>
          <w:lang w:val="en-US"/>
        </w:rPr>
        <w:t>Balic</w:t>
      </w:r>
      <w:proofErr w:type="spellEnd"/>
      <w:r>
        <w:rPr>
          <w:rFonts w:asciiTheme="majorBidi" w:hAnsiTheme="majorBidi" w:cstheme="majorBidi"/>
          <w:color w:val="000000" w:themeColor="text1"/>
          <w:lang w:val="en-US"/>
        </w:rPr>
        <w:t xml:space="preserve">, A., and </w:t>
      </w:r>
      <w:proofErr w:type="spellStart"/>
      <w:r>
        <w:rPr>
          <w:rFonts w:asciiTheme="majorBidi" w:hAnsiTheme="majorBidi" w:cstheme="majorBidi"/>
          <w:color w:val="000000" w:themeColor="text1"/>
          <w:lang w:val="en-US"/>
        </w:rPr>
        <w:t>Bwakira</w:t>
      </w:r>
      <w:proofErr w:type="spellEnd"/>
      <w:r>
        <w:rPr>
          <w:rFonts w:asciiTheme="majorBidi" w:hAnsiTheme="majorBidi" w:cstheme="majorBidi"/>
          <w:color w:val="000000" w:themeColor="text1"/>
          <w:lang w:val="en-US"/>
        </w:rPr>
        <w:t xml:space="preserve">, L., </w:t>
      </w:r>
      <w:proofErr w:type="gramStart"/>
      <w:r>
        <w:rPr>
          <w:rFonts w:asciiTheme="majorBidi" w:hAnsiTheme="majorBidi" w:cstheme="majorBidi"/>
          <w:color w:val="000000" w:themeColor="text1"/>
          <w:lang w:val="en-US"/>
        </w:rPr>
        <w:t>( 2002</w:t>
      </w:r>
      <w:proofErr w:type="gramEnd"/>
      <w:r w:rsidRPr="00FA0B69">
        <w:rPr>
          <w:rFonts w:asciiTheme="majorBidi" w:hAnsiTheme="majorBidi" w:cstheme="majorBidi"/>
          <w:color w:val="000000" w:themeColor="text1"/>
          <w:lang w:val="en-US"/>
        </w:rPr>
        <w:t xml:space="preserve">). </w:t>
      </w:r>
      <w:r>
        <w:rPr>
          <w:rFonts w:asciiTheme="majorBidi" w:hAnsiTheme="majorBidi" w:cstheme="majorBidi"/>
          <w:color w:val="000000" w:themeColor="text1"/>
          <w:lang w:val="en-US"/>
        </w:rPr>
        <w:t>Measuring transparency and disclosure at firm level in emerging markets</w:t>
      </w:r>
      <w:r w:rsidRPr="00FA0B69">
        <w:rPr>
          <w:rFonts w:asciiTheme="majorBidi" w:hAnsiTheme="majorBidi" w:cstheme="majorBidi"/>
          <w:color w:val="000000" w:themeColor="text1"/>
          <w:lang w:val="en-US"/>
        </w:rPr>
        <w:t xml:space="preserve">, </w:t>
      </w:r>
      <w:r>
        <w:rPr>
          <w:rFonts w:asciiTheme="majorBidi" w:hAnsiTheme="majorBidi" w:cstheme="majorBidi"/>
          <w:i/>
          <w:iCs/>
          <w:color w:val="000000" w:themeColor="text1"/>
          <w:lang w:val="en-US"/>
        </w:rPr>
        <w:t>Emerging Markets Review</w:t>
      </w:r>
      <w:r>
        <w:rPr>
          <w:rFonts w:asciiTheme="majorBidi" w:hAnsiTheme="majorBidi" w:cstheme="majorBidi"/>
          <w:color w:val="000000" w:themeColor="text1"/>
          <w:lang w:val="en-US"/>
        </w:rPr>
        <w:t>, 3, p325-33</w:t>
      </w:r>
      <w:r w:rsidRPr="00FA0B69">
        <w:rPr>
          <w:rFonts w:asciiTheme="majorBidi" w:hAnsiTheme="majorBidi" w:cstheme="majorBidi"/>
          <w:color w:val="000000" w:themeColor="text1"/>
          <w:lang w:val="en-US"/>
        </w:rPr>
        <w:t>7.</w:t>
      </w:r>
    </w:p>
    <w:p w:rsidR="00693AF8" w:rsidRPr="00FA0B69" w:rsidRDefault="00693AF8" w:rsidP="00693AF8">
      <w:pPr>
        <w:tabs>
          <w:tab w:val="right" w:pos="720"/>
        </w:tabs>
        <w:ind w:left="527" w:hanging="527"/>
        <w:jc w:val="both"/>
        <w:rPr>
          <w:rFonts w:asciiTheme="majorBidi" w:hAnsiTheme="majorBidi" w:cstheme="majorBidi"/>
          <w:color w:val="000000" w:themeColor="text1"/>
          <w:lang w:val="en-US"/>
        </w:rPr>
      </w:pPr>
      <w:proofErr w:type="spellStart"/>
      <w:r w:rsidRPr="00FA0B69">
        <w:rPr>
          <w:rFonts w:asciiTheme="majorBidi" w:hAnsiTheme="majorBidi" w:cstheme="majorBidi"/>
          <w:color w:val="000000" w:themeColor="text1"/>
          <w:lang w:val="en-US"/>
        </w:rPr>
        <w:t>Pathan</w:t>
      </w:r>
      <w:proofErr w:type="spellEnd"/>
      <w:r w:rsidRPr="00FA0B69">
        <w:rPr>
          <w:rFonts w:asciiTheme="majorBidi" w:hAnsiTheme="majorBidi" w:cstheme="majorBidi"/>
          <w:color w:val="000000" w:themeColor="text1"/>
          <w:lang w:val="en-US"/>
        </w:rPr>
        <w:t xml:space="preserve">, S., </w:t>
      </w:r>
      <w:proofErr w:type="spellStart"/>
      <w:r w:rsidRPr="00FA0B69">
        <w:rPr>
          <w:rFonts w:asciiTheme="majorBidi" w:hAnsiTheme="majorBidi" w:cstheme="majorBidi"/>
          <w:color w:val="000000" w:themeColor="text1"/>
          <w:lang w:val="en-US"/>
        </w:rPr>
        <w:t>Skully</w:t>
      </w:r>
      <w:proofErr w:type="spellEnd"/>
      <w:r w:rsidRPr="00FA0B69">
        <w:rPr>
          <w:rFonts w:asciiTheme="majorBidi" w:hAnsiTheme="majorBidi" w:cstheme="majorBidi"/>
          <w:color w:val="000000" w:themeColor="text1"/>
          <w:lang w:val="en-US"/>
        </w:rPr>
        <w:t xml:space="preserve">, M., and </w:t>
      </w:r>
      <w:proofErr w:type="spellStart"/>
      <w:r w:rsidRPr="00FA0B69">
        <w:rPr>
          <w:rFonts w:asciiTheme="majorBidi" w:hAnsiTheme="majorBidi" w:cstheme="majorBidi"/>
          <w:color w:val="000000" w:themeColor="text1"/>
          <w:lang w:val="en-US"/>
        </w:rPr>
        <w:t>Wickramanayake</w:t>
      </w:r>
      <w:proofErr w:type="spellEnd"/>
      <w:r w:rsidRPr="00FA0B69">
        <w:rPr>
          <w:rFonts w:asciiTheme="majorBidi" w:hAnsiTheme="majorBidi" w:cstheme="majorBidi"/>
          <w:color w:val="000000" w:themeColor="text1"/>
          <w:lang w:val="en-US"/>
        </w:rPr>
        <w:t xml:space="preserve">, J., </w:t>
      </w:r>
      <w:proofErr w:type="gramStart"/>
      <w:r w:rsidRPr="00FA0B69">
        <w:rPr>
          <w:rFonts w:asciiTheme="majorBidi" w:hAnsiTheme="majorBidi" w:cstheme="majorBidi"/>
          <w:color w:val="000000" w:themeColor="text1"/>
          <w:lang w:val="en-US"/>
        </w:rPr>
        <w:t>( 2007</w:t>
      </w:r>
      <w:proofErr w:type="gramEnd"/>
      <w:r w:rsidRPr="00FA0B69">
        <w:rPr>
          <w:rFonts w:asciiTheme="majorBidi" w:hAnsiTheme="majorBidi" w:cstheme="majorBidi"/>
          <w:color w:val="000000" w:themeColor="text1"/>
          <w:lang w:val="en-US"/>
        </w:rPr>
        <w:t xml:space="preserve">). Board Size, Independence and Performance: An Analysis of Thai Banks, </w:t>
      </w:r>
      <w:r w:rsidRPr="00FA0B69">
        <w:rPr>
          <w:rFonts w:asciiTheme="majorBidi" w:hAnsiTheme="majorBidi" w:cstheme="majorBidi"/>
          <w:i/>
          <w:iCs/>
          <w:color w:val="000000" w:themeColor="text1"/>
          <w:lang w:val="en-US"/>
        </w:rPr>
        <w:t>Asia-Pacific Financial Markets</w:t>
      </w:r>
      <w:r w:rsidRPr="00FA0B69">
        <w:rPr>
          <w:rFonts w:asciiTheme="majorBidi" w:hAnsiTheme="majorBidi" w:cstheme="majorBidi"/>
          <w:color w:val="000000" w:themeColor="text1"/>
          <w:lang w:val="en-US"/>
        </w:rPr>
        <w:t>, 14, p211-227.</w:t>
      </w:r>
    </w:p>
    <w:p w:rsidR="00693AF8" w:rsidRPr="00FA0B69" w:rsidRDefault="00693AF8" w:rsidP="00693AF8">
      <w:pPr>
        <w:tabs>
          <w:tab w:val="right" w:pos="720"/>
        </w:tabs>
        <w:ind w:left="527" w:hanging="527"/>
        <w:jc w:val="both"/>
        <w:rPr>
          <w:color w:val="000000" w:themeColor="text1"/>
          <w:lang w:val="en-US"/>
        </w:rPr>
      </w:pPr>
      <w:proofErr w:type="gramStart"/>
      <w:r w:rsidRPr="00FA0B69">
        <w:rPr>
          <w:color w:val="000000" w:themeColor="text1"/>
          <w:lang w:val="en-US"/>
        </w:rPr>
        <w:t xml:space="preserve">Pearce, A., Zahra, A., (1992), Board composition from a strategic contingency perspective, </w:t>
      </w:r>
      <w:r w:rsidRPr="00FA0B69">
        <w:rPr>
          <w:i/>
          <w:iCs/>
          <w:color w:val="000000" w:themeColor="text1"/>
          <w:lang w:val="en-US"/>
        </w:rPr>
        <w:t>Journal of Management Studies</w:t>
      </w:r>
      <w:r w:rsidRPr="00FA0B69">
        <w:rPr>
          <w:color w:val="000000" w:themeColor="text1"/>
          <w:lang w:val="en-US"/>
        </w:rPr>
        <w:t>, 4, pp.411-438.</w:t>
      </w:r>
      <w:proofErr w:type="gramEnd"/>
    </w:p>
    <w:p w:rsidR="00693AF8" w:rsidRPr="00FA0B69" w:rsidRDefault="00693AF8" w:rsidP="00693AF8">
      <w:pPr>
        <w:tabs>
          <w:tab w:val="right" w:pos="720"/>
        </w:tabs>
        <w:ind w:left="527" w:hanging="527"/>
        <w:jc w:val="both"/>
        <w:rPr>
          <w:color w:val="000000" w:themeColor="text1"/>
          <w:lang w:val="en-US"/>
        </w:rPr>
      </w:pPr>
      <w:proofErr w:type="spellStart"/>
      <w:r w:rsidRPr="00FA0B69">
        <w:rPr>
          <w:color w:val="000000" w:themeColor="text1"/>
          <w:lang w:val="en-US"/>
        </w:rPr>
        <w:t>Rechner</w:t>
      </w:r>
      <w:proofErr w:type="spellEnd"/>
      <w:r w:rsidRPr="00FA0B69">
        <w:rPr>
          <w:color w:val="000000" w:themeColor="text1"/>
          <w:lang w:val="en-US"/>
        </w:rPr>
        <w:t>, P. L.</w:t>
      </w:r>
      <w:proofErr w:type="gramStart"/>
      <w:r w:rsidRPr="00FA0B69">
        <w:rPr>
          <w:color w:val="000000" w:themeColor="text1"/>
          <w:lang w:val="en-US"/>
        </w:rPr>
        <w:t>,  Dalton</w:t>
      </w:r>
      <w:proofErr w:type="gramEnd"/>
      <w:r w:rsidRPr="00FA0B69">
        <w:rPr>
          <w:color w:val="000000" w:themeColor="text1"/>
          <w:lang w:val="en-US"/>
        </w:rPr>
        <w:t xml:space="preserve">, D. R., (1991), CEO duality and organizational performance: A longitudinal, </w:t>
      </w:r>
      <w:r w:rsidRPr="00FA0B69">
        <w:rPr>
          <w:i/>
          <w:color w:val="000000" w:themeColor="text1"/>
          <w:lang w:val="en-US"/>
        </w:rPr>
        <w:t>Strategic Management Journal</w:t>
      </w:r>
      <w:r w:rsidRPr="00FA0B69">
        <w:rPr>
          <w:color w:val="000000" w:themeColor="text1"/>
          <w:lang w:val="en-US"/>
        </w:rPr>
        <w:t>, 12, pp.155-160.</w:t>
      </w:r>
    </w:p>
    <w:p w:rsidR="00693AF8" w:rsidRPr="00E00997" w:rsidRDefault="00693AF8" w:rsidP="00693AF8">
      <w:pPr>
        <w:tabs>
          <w:tab w:val="right" w:pos="720"/>
        </w:tabs>
        <w:ind w:left="527" w:hanging="527"/>
        <w:jc w:val="both"/>
        <w:rPr>
          <w:color w:val="000000" w:themeColor="text1"/>
          <w:lang w:val="en-US"/>
        </w:rPr>
      </w:pPr>
      <w:proofErr w:type="spellStart"/>
      <w:r>
        <w:rPr>
          <w:color w:val="000000" w:themeColor="text1"/>
          <w:lang w:val="en-US"/>
        </w:rPr>
        <w:t>Rehman</w:t>
      </w:r>
      <w:proofErr w:type="spellEnd"/>
      <w:r>
        <w:rPr>
          <w:color w:val="000000" w:themeColor="text1"/>
          <w:lang w:val="en-US"/>
        </w:rPr>
        <w:t>, U. R.</w:t>
      </w:r>
      <w:proofErr w:type="gramStart"/>
      <w:r>
        <w:rPr>
          <w:color w:val="000000" w:themeColor="text1"/>
          <w:lang w:val="en-US"/>
        </w:rPr>
        <w:t xml:space="preserve">,  </w:t>
      </w:r>
      <w:proofErr w:type="spellStart"/>
      <w:r>
        <w:rPr>
          <w:color w:val="000000" w:themeColor="text1"/>
          <w:lang w:val="en-US"/>
        </w:rPr>
        <w:t>Mangla</w:t>
      </w:r>
      <w:proofErr w:type="spellEnd"/>
      <w:proofErr w:type="gramEnd"/>
      <w:r>
        <w:rPr>
          <w:color w:val="000000" w:themeColor="text1"/>
          <w:lang w:val="en-US"/>
        </w:rPr>
        <w:t>, U. I</w:t>
      </w:r>
      <w:r w:rsidRPr="00FA0B69">
        <w:rPr>
          <w:color w:val="000000" w:themeColor="text1"/>
          <w:lang w:val="en-US"/>
        </w:rPr>
        <w:t>., (</w:t>
      </w:r>
      <w:r>
        <w:rPr>
          <w:color w:val="000000" w:themeColor="text1"/>
          <w:lang w:val="en-US"/>
        </w:rPr>
        <w:t>2010</w:t>
      </w:r>
      <w:r w:rsidRPr="00FA0B69">
        <w:rPr>
          <w:color w:val="000000" w:themeColor="text1"/>
          <w:lang w:val="en-US"/>
        </w:rPr>
        <w:t xml:space="preserve">), </w:t>
      </w:r>
      <w:r>
        <w:rPr>
          <w:color w:val="000000" w:themeColor="text1"/>
          <w:lang w:val="en-US"/>
        </w:rPr>
        <w:t>Corporate governance and performance of financial institutions in Pakistan: A comparison between conventional and Islamic banks in Pakistan</w:t>
      </w:r>
      <w:r w:rsidRPr="00FA0B69">
        <w:rPr>
          <w:color w:val="000000" w:themeColor="text1"/>
          <w:lang w:val="en-US"/>
        </w:rPr>
        <w:t xml:space="preserve">, </w:t>
      </w:r>
      <w:r>
        <w:rPr>
          <w:i/>
          <w:color w:val="000000" w:themeColor="text1"/>
          <w:lang w:val="en-US"/>
        </w:rPr>
        <w:t>The Pakistan Development Review,</w:t>
      </w:r>
      <w:r>
        <w:rPr>
          <w:color w:val="000000" w:themeColor="text1"/>
          <w:lang w:val="en-US"/>
        </w:rPr>
        <w:t xml:space="preserve"> 49, pp.461-475</w:t>
      </w:r>
      <w:r w:rsidRPr="00FA0B69">
        <w:rPr>
          <w:color w:val="000000" w:themeColor="text1"/>
          <w:lang w:val="en-US"/>
        </w:rPr>
        <w:t>.</w:t>
      </w:r>
    </w:p>
    <w:p w:rsidR="00693AF8" w:rsidRPr="00FA0B69" w:rsidRDefault="00693AF8" w:rsidP="00693AF8">
      <w:pPr>
        <w:tabs>
          <w:tab w:val="right" w:pos="720"/>
        </w:tabs>
        <w:ind w:left="527" w:hanging="527"/>
        <w:jc w:val="both"/>
        <w:rPr>
          <w:rFonts w:asciiTheme="majorBidi" w:hAnsiTheme="majorBidi" w:cstheme="majorBidi"/>
          <w:color w:val="000000" w:themeColor="text1"/>
          <w:lang w:val="en-US"/>
        </w:rPr>
      </w:pPr>
      <w:proofErr w:type="spellStart"/>
      <w:r w:rsidRPr="00FA0B69">
        <w:rPr>
          <w:rFonts w:asciiTheme="majorBidi" w:hAnsiTheme="majorBidi" w:cstheme="majorBidi"/>
          <w:color w:val="000000" w:themeColor="text1"/>
          <w:lang w:val="en-US"/>
        </w:rPr>
        <w:t>Safieddine</w:t>
      </w:r>
      <w:proofErr w:type="spellEnd"/>
      <w:r w:rsidRPr="00FA0B69">
        <w:rPr>
          <w:rFonts w:asciiTheme="majorBidi" w:hAnsiTheme="majorBidi" w:cstheme="majorBidi"/>
          <w:color w:val="000000" w:themeColor="text1"/>
          <w:lang w:val="en-US"/>
        </w:rPr>
        <w:t xml:space="preserve">, A., (2009), Islamic financial institutions and corporate governance: New insights for agency theory, </w:t>
      </w:r>
      <w:r w:rsidRPr="00FA0B69">
        <w:rPr>
          <w:rFonts w:asciiTheme="majorBidi" w:hAnsiTheme="majorBidi" w:cstheme="majorBidi"/>
          <w:i/>
          <w:iCs/>
          <w:color w:val="000000" w:themeColor="text1"/>
          <w:lang w:val="en-US"/>
        </w:rPr>
        <w:t xml:space="preserve">Corporate </w:t>
      </w:r>
      <w:r>
        <w:rPr>
          <w:rFonts w:asciiTheme="majorBidi" w:hAnsiTheme="majorBidi" w:cstheme="majorBidi"/>
          <w:i/>
          <w:iCs/>
          <w:color w:val="000000" w:themeColor="text1"/>
          <w:lang w:val="en-US"/>
        </w:rPr>
        <w:t>G</w:t>
      </w:r>
      <w:r w:rsidRPr="00FA0B69">
        <w:rPr>
          <w:rFonts w:asciiTheme="majorBidi" w:hAnsiTheme="majorBidi" w:cstheme="majorBidi"/>
          <w:i/>
          <w:iCs/>
          <w:color w:val="000000" w:themeColor="text1"/>
          <w:lang w:val="en-US"/>
        </w:rPr>
        <w:t xml:space="preserve">overnance: An </w:t>
      </w:r>
      <w:r>
        <w:rPr>
          <w:rFonts w:asciiTheme="majorBidi" w:hAnsiTheme="majorBidi" w:cstheme="majorBidi"/>
          <w:i/>
          <w:iCs/>
          <w:color w:val="000000" w:themeColor="text1"/>
          <w:lang w:val="en-US"/>
        </w:rPr>
        <w:t>I</w:t>
      </w:r>
      <w:r w:rsidRPr="00FA0B69">
        <w:rPr>
          <w:rFonts w:asciiTheme="majorBidi" w:hAnsiTheme="majorBidi" w:cstheme="majorBidi"/>
          <w:i/>
          <w:iCs/>
          <w:color w:val="000000" w:themeColor="text1"/>
          <w:lang w:val="en-US"/>
        </w:rPr>
        <w:t>nternational Review</w:t>
      </w:r>
      <w:r w:rsidRPr="00FA0B69">
        <w:rPr>
          <w:rFonts w:asciiTheme="majorBidi" w:hAnsiTheme="majorBidi" w:cstheme="majorBidi"/>
          <w:color w:val="000000" w:themeColor="text1"/>
          <w:lang w:val="en-US"/>
        </w:rPr>
        <w:t>, 17, pp.142-158.</w:t>
      </w:r>
    </w:p>
    <w:p w:rsidR="00693AF8" w:rsidRDefault="00693AF8" w:rsidP="00693AF8">
      <w:pPr>
        <w:tabs>
          <w:tab w:val="right" w:pos="720"/>
        </w:tabs>
        <w:ind w:left="527" w:hanging="527"/>
        <w:jc w:val="both"/>
        <w:rPr>
          <w:color w:val="000000" w:themeColor="text1"/>
          <w:lang w:val="en-US"/>
        </w:rPr>
      </w:pPr>
      <w:r w:rsidRPr="00FA0B69">
        <w:rPr>
          <w:color w:val="000000" w:themeColor="text1"/>
          <w:lang w:val="en-US"/>
        </w:rPr>
        <w:t xml:space="preserve">Sarkar, J., Sarkar, S., Sen, K., (2012), A corporate governance index for large listed companies in India, </w:t>
      </w:r>
      <w:r w:rsidRPr="00FA0B69">
        <w:rPr>
          <w:i/>
          <w:iCs/>
          <w:color w:val="000000" w:themeColor="text1"/>
          <w:lang w:val="en-US"/>
        </w:rPr>
        <w:t>Working Paper</w:t>
      </w:r>
      <w:r w:rsidRPr="00FA0B69">
        <w:rPr>
          <w:color w:val="000000" w:themeColor="text1"/>
          <w:lang w:val="en-US"/>
        </w:rPr>
        <w:t>, 9, Indira Gandhi Institute of Development Research, Mumbai.</w:t>
      </w:r>
    </w:p>
    <w:p w:rsidR="00693AF8" w:rsidRPr="00927903" w:rsidRDefault="00693AF8" w:rsidP="00693AF8">
      <w:pPr>
        <w:autoSpaceDE w:val="0"/>
        <w:autoSpaceDN w:val="0"/>
        <w:adjustRightInd w:val="0"/>
        <w:ind w:left="527" w:hanging="527"/>
        <w:rPr>
          <w:rFonts w:asciiTheme="majorBidi" w:hAnsiTheme="majorBidi" w:cstheme="majorBidi"/>
          <w:color w:val="000000"/>
          <w:lang w:val="en-US"/>
        </w:rPr>
      </w:pPr>
      <w:proofErr w:type="spellStart"/>
      <w:r w:rsidRPr="00927903">
        <w:rPr>
          <w:rFonts w:asciiTheme="majorBidi" w:hAnsiTheme="majorBidi" w:cstheme="majorBidi"/>
          <w:color w:val="333333"/>
          <w:lang w:val="en-US"/>
        </w:rPr>
        <w:t>Smirlock</w:t>
      </w:r>
      <w:proofErr w:type="spellEnd"/>
      <w:r>
        <w:rPr>
          <w:rFonts w:asciiTheme="majorBidi" w:hAnsiTheme="majorBidi" w:cstheme="majorBidi"/>
          <w:color w:val="333333"/>
          <w:lang w:val="en-US"/>
        </w:rPr>
        <w:t>,</w:t>
      </w:r>
      <w:r w:rsidRPr="00927903">
        <w:rPr>
          <w:rFonts w:asciiTheme="majorBidi" w:hAnsiTheme="majorBidi" w:cstheme="majorBidi"/>
          <w:color w:val="333333"/>
          <w:lang w:val="en-US"/>
        </w:rPr>
        <w:t xml:space="preserve"> M.</w:t>
      </w:r>
      <w:proofErr w:type="gramStart"/>
      <w:r>
        <w:rPr>
          <w:rFonts w:asciiTheme="majorBidi" w:hAnsiTheme="majorBidi" w:cstheme="majorBidi"/>
          <w:color w:val="333333"/>
          <w:lang w:val="en-US"/>
        </w:rPr>
        <w:t>,</w:t>
      </w:r>
      <w:r w:rsidRPr="00927903">
        <w:rPr>
          <w:rFonts w:asciiTheme="majorBidi" w:hAnsiTheme="majorBidi" w:cstheme="majorBidi"/>
          <w:color w:val="000000"/>
          <w:lang w:val="en-US"/>
        </w:rPr>
        <w:t>(</w:t>
      </w:r>
      <w:proofErr w:type="gramEnd"/>
      <w:r w:rsidRPr="00927903">
        <w:rPr>
          <w:rFonts w:asciiTheme="majorBidi" w:hAnsiTheme="majorBidi" w:cstheme="majorBidi"/>
          <w:color w:val="000000"/>
          <w:lang w:val="en-US"/>
        </w:rPr>
        <w:t>1985), Evidence on the (non) Relationship between Concentration and Profitability in</w:t>
      </w:r>
      <w:r w:rsidR="009E0A07">
        <w:rPr>
          <w:rFonts w:asciiTheme="majorBidi" w:hAnsiTheme="majorBidi" w:cstheme="majorBidi"/>
          <w:color w:val="000000"/>
          <w:lang w:val="en-US"/>
        </w:rPr>
        <w:t xml:space="preserve"> </w:t>
      </w:r>
      <w:r w:rsidRPr="00927903">
        <w:rPr>
          <w:rFonts w:asciiTheme="majorBidi" w:hAnsiTheme="majorBidi" w:cstheme="majorBidi"/>
          <w:color w:val="000000"/>
          <w:lang w:val="en-US"/>
        </w:rPr>
        <w:t xml:space="preserve">Banking, </w:t>
      </w:r>
      <w:r w:rsidRPr="00927903">
        <w:rPr>
          <w:rFonts w:asciiTheme="majorBidi" w:hAnsiTheme="majorBidi" w:cstheme="majorBidi"/>
          <w:i/>
          <w:iCs/>
          <w:color w:val="000000"/>
          <w:lang w:val="en-US"/>
        </w:rPr>
        <w:t>Journal of Money</w:t>
      </w:r>
      <w:r w:rsidRPr="00927903">
        <w:rPr>
          <w:rFonts w:asciiTheme="majorBidi" w:hAnsiTheme="majorBidi" w:cstheme="majorBidi"/>
          <w:color w:val="000000"/>
          <w:lang w:val="en-US"/>
        </w:rPr>
        <w:t>, 17, pp. 69-83.</w:t>
      </w:r>
    </w:p>
    <w:p w:rsidR="00693AF8" w:rsidRPr="00FA0B69" w:rsidRDefault="00693AF8" w:rsidP="00693AF8">
      <w:pPr>
        <w:tabs>
          <w:tab w:val="right" w:pos="720"/>
        </w:tabs>
        <w:ind w:left="527" w:hanging="527"/>
        <w:jc w:val="both"/>
        <w:rPr>
          <w:rFonts w:asciiTheme="majorBidi" w:hAnsiTheme="majorBidi" w:cstheme="majorBidi"/>
          <w:color w:val="000000" w:themeColor="text1"/>
          <w:lang w:val="en-US"/>
        </w:rPr>
      </w:pPr>
      <w:proofErr w:type="spellStart"/>
      <w:r w:rsidRPr="00FA0B69">
        <w:rPr>
          <w:rFonts w:asciiTheme="majorBidi" w:hAnsiTheme="majorBidi" w:cstheme="majorBidi"/>
          <w:color w:val="000000" w:themeColor="text1"/>
          <w:lang w:val="en-US"/>
        </w:rPr>
        <w:t>Srairi</w:t>
      </w:r>
      <w:proofErr w:type="spellEnd"/>
      <w:r w:rsidRPr="00FA0B69">
        <w:rPr>
          <w:rFonts w:asciiTheme="majorBidi" w:hAnsiTheme="majorBidi" w:cstheme="majorBidi"/>
          <w:color w:val="000000" w:themeColor="text1"/>
          <w:lang w:val="en-US"/>
        </w:rPr>
        <w:t xml:space="preserve">, S., (2009), A comparison of the profitability of Islamic and conventional banks: The case of GCC countries, </w:t>
      </w:r>
      <w:r w:rsidRPr="00FA0B69">
        <w:rPr>
          <w:rFonts w:asciiTheme="majorBidi" w:hAnsiTheme="majorBidi" w:cstheme="majorBidi"/>
          <w:i/>
          <w:iCs/>
          <w:color w:val="000000" w:themeColor="text1"/>
          <w:lang w:val="en-US"/>
        </w:rPr>
        <w:t>Bankers, Markets, Investors</w:t>
      </w:r>
      <w:r w:rsidRPr="00FA0B69">
        <w:rPr>
          <w:rFonts w:asciiTheme="majorBidi" w:hAnsiTheme="majorBidi" w:cstheme="majorBidi"/>
          <w:color w:val="000000" w:themeColor="text1"/>
          <w:lang w:val="en-US"/>
        </w:rPr>
        <w:t>, 34, pp.45-62.</w:t>
      </w:r>
    </w:p>
    <w:p w:rsidR="00693AF8" w:rsidRPr="00FA0B69" w:rsidRDefault="00693AF8" w:rsidP="00693AF8">
      <w:pPr>
        <w:tabs>
          <w:tab w:val="right" w:pos="720"/>
        </w:tabs>
        <w:ind w:left="527" w:hanging="527"/>
        <w:jc w:val="both"/>
        <w:rPr>
          <w:color w:val="000000" w:themeColor="text1"/>
          <w:lang w:val="en-US"/>
        </w:rPr>
      </w:pPr>
      <w:proofErr w:type="spellStart"/>
      <w:r>
        <w:rPr>
          <w:color w:val="000000" w:themeColor="text1"/>
          <w:lang w:val="en-US"/>
        </w:rPr>
        <w:t>Srairi</w:t>
      </w:r>
      <w:proofErr w:type="spellEnd"/>
      <w:r>
        <w:rPr>
          <w:color w:val="000000" w:themeColor="text1"/>
          <w:lang w:val="en-US"/>
        </w:rPr>
        <w:t>, S</w:t>
      </w:r>
      <w:r w:rsidRPr="00FA0B69">
        <w:rPr>
          <w:color w:val="000000" w:themeColor="text1"/>
          <w:lang w:val="en-US"/>
        </w:rPr>
        <w:t>.,</w:t>
      </w:r>
      <w:r>
        <w:rPr>
          <w:color w:val="000000" w:themeColor="text1"/>
          <w:lang w:val="en-US"/>
        </w:rPr>
        <w:t xml:space="preserve"> Ben </w:t>
      </w:r>
      <w:proofErr w:type="spellStart"/>
      <w:r>
        <w:rPr>
          <w:color w:val="000000" w:themeColor="text1"/>
          <w:lang w:val="en-US"/>
        </w:rPr>
        <w:t>Douissa</w:t>
      </w:r>
      <w:proofErr w:type="spellEnd"/>
      <w:r>
        <w:rPr>
          <w:color w:val="000000" w:themeColor="text1"/>
          <w:lang w:val="en-US"/>
        </w:rPr>
        <w:t>, I., (2014</w:t>
      </w:r>
      <w:r w:rsidRPr="00FA0B69">
        <w:rPr>
          <w:color w:val="000000" w:themeColor="text1"/>
          <w:lang w:val="en-US"/>
        </w:rPr>
        <w:t xml:space="preserve">), </w:t>
      </w:r>
      <w:r w:rsidRPr="00BA0527">
        <w:rPr>
          <w:rFonts w:asciiTheme="majorBidi" w:hAnsiTheme="majorBidi" w:cstheme="majorBidi"/>
          <w:lang w:val="en-US"/>
        </w:rPr>
        <w:t>Factors influencing bank transparency: Case of emerging markets</w:t>
      </w:r>
      <w:r w:rsidRPr="00FA0B69">
        <w:rPr>
          <w:color w:val="000000" w:themeColor="text1"/>
          <w:lang w:val="en-US"/>
        </w:rPr>
        <w:t xml:space="preserve">, </w:t>
      </w:r>
      <w:r w:rsidRPr="00BA0527">
        <w:rPr>
          <w:rStyle w:val="apple-style-span"/>
          <w:rFonts w:asciiTheme="majorBidi" w:hAnsiTheme="majorBidi" w:cstheme="majorBidi"/>
          <w:i/>
          <w:iCs/>
          <w:color w:val="000000"/>
          <w:shd w:val="clear" w:color="auto" w:fill="FFFFFF"/>
          <w:lang w:val="en-US"/>
        </w:rPr>
        <w:t>British Journal of Economics, Management and Trade</w:t>
      </w:r>
      <w:r w:rsidRPr="00FA0B69">
        <w:rPr>
          <w:color w:val="000000" w:themeColor="text1"/>
          <w:lang w:val="en-US"/>
        </w:rPr>
        <w:t xml:space="preserve">, </w:t>
      </w:r>
      <w:r>
        <w:rPr>
          <w:color w:val="000000" w:themeColor="text1"/>
          <w:lang w:val="en-US"/>
        </w:rPr>
        <w:t>4</w:t>
      </w:r>
      <w:r w:rsidRPr="00FA0B69">
        <w:rPr>
          <w:color w:val="000000" w:themeColor="text1"/>
          <w:lang w:val="en-US"/>
        </w:rPr>
        <w:t>, pp.</w:t>
      </w:r>
      <w:r>
        <w:rPr>
          <w:color w:val="000000" w:themeColor="text1"/>
          <w:lang w:val="en-US"/>
        </w:rPr>
        <w:t>523</w:t>
      </w:r>
      <w:r w:rsidRPr="00FA0B69">
        <w:rPr>
          <w:color w:val="000000" w:themeColor="text1"/>
          <w:lang w:val="en-US"/>
        </w:rPr>
        <w:t>-</w:t>
      </w:r>
      <w:r>
        <w:rPr>
          <w:color w:val="000000" w:themeColor="text1"/>
          <w:lang w:val="en-US"/>
        </w:rPr>
        <w:t>540</w:t>
      </w:r>
      <w:r w:rsidRPr="00FA0B69">
        <w:rPr>
          <w:color w:val="000000" w:themeColor="text1"/>
          <w:lang w:val="en-US"/>
        </w:rPr>
        <w:t>.</w:t>
      </w:r>
    </w:p>
    <w:p w:rsidR="00693AF8" w:rsidRPr="00FA0B69" w:rsidRDefault="00693AF8" w:rsidP="00693AF8">
      <w:pPr>
        <w:tabs>
          <w:tab w:val="right" w:pos="720"/>
        </w:tabs>
        <w:ind w:left="527" w:hanging="527"/>
        <w:jc w:val="both"/>
        <w:rPr>
          <w:color w:val="000000" w:themeColor="text1"/>
          <w:lang w:val="en-US"/>
        </w:rPr>
      </w:pPr>
      <w:proofErr w:type="spellStart"/>
      <w:r w:rsidRPr="00FA0B69">
        <w:rPr>
          <w:color w:val="000000" w:themeColor="text1"/>
          <w:lang w:val="en-US"/>
        </w:rPr>
        <w:t>Sufian</w:t>
      </w:r>
      <w:proofErr w:type="spellEnd"/>
      <w:r w:rsidRPr="00FA0B69">
        <w:rPr>
          <w:color w:val="000000" w:themeColor="text1"/>
          <w:lang w:val="en-US"/>
        </w:rPr>
        <w:t xml:space="preserve">, F., </w:t>
      </w:r>
      <w:proofErr w:type="spellStart"/>
      <w:r w:rsidRPr="00FA0B69">
        <w:rPr>
          <w:color w:val="000000" w:themeColor="text1"/>
          <w:lang w:val="en-US"/>
        </w:rPr>
        <w:t>Habibullah</w:t>
      </w:r>
      <w:proofErr w:type="spellEnd"/>
      <w:r w:rsidRPr="00FA0B69">
        <w:rPr>
          <w:color w:val="000000" w:themeColor="text1"/>
          <w:lang w:val="en-US"/>
        </w:rPr>
        <w:t xml:space="preserve">, M. S., (2010), Does economic freedom fosters banks performance? Panel evidence, </w:t>
      </w:r>
      <w:r w:rsidRPr="00FA0B69">
        <w:rPr>
          <w:i/>
          <w:iCs/>
          <w:color w:val="000000" w:themeColor="text1"/>
          <w:lang w:val="en-US"/>
        </w:rPr>
        <w:t>Journal of Contemporary Accounting and Economics</w:t>
      </w:r>
      <w:r w:rsidRPr="00FA0B69">
        <w:rPr>
          <w:color w:val="000000" w:themeColor="text1"/>
          <w:lang w:val="en-US"/>
        </w:rPr>
        <w:t>, 6, pp.77-91.</w:t>
      </w:r>
    </w:p>
    <w:p w:rsidR="00693AF8" w:rsidRPr="00FA0B69" w:rsidRDefault="00693AF8" w:rsidP="00693AF8">
      <w:pPr>
        <w:tabs>
          <w:tab w:val="right" w:pos="720"/>
        </w:tabs>
        <w:ind w:left="527" w:hanging="527"/>
        <w:jc w:val="both"/>
        <w:rPr>
          <w:color w:val="000000" w:themeColor="text1"/>
          <w:lang w:val="en-US"/>
        </w:rPr>
      </w:pPr>
      <w:proofErr w:type="spellStart"/>
      <w:r w:rsidRPr="00FA0B69">
        <w:rPr>
          <w:color w:val="000000" w:themeColor="text1"/>
          <w:lang w:val="en-US"/>
        </w:rPr>
        <w:t>Sulaiman</w:t>
      </w:r>
      <w:proofErr w:type="spellEnd"/>
      <w:r w:rsidRPr="00FA0B69">
        <w:rPr>
          <w:color w:val="000000" w:themeColor="text1"/>
          <w:lang w:val="en-US"/>
        </w:rPr>
        <w:t xml:space="preserve">, M., </w:t>
      </w:r>
      <w:proofErr w:type="spellStart"/>
      <w:r w:rsidRPr="00FA0B69">
        <w:rPr>
          <w:color w:val="000000" w:themeColor="text1"/>
          <w:lang w:val="en-US"/>
        </w:rPr>
        <w:t>Abd</w:t>
      </w:r>
      <w:proofErr w:type="spellEnd"/>
      <w:r w:rsidRPr="00FA0B69">
        <w:rPr>
          <w:color w:val="000000" w:themeColor="text1"/>
          <w:lang w:val="en-US"/>
        </w:rPr>
        <w:t xml:space="preserve"> </w:t>
      </w:r>
      <w:proofErr w:type="spellStart"/>
      <w:r w:rsidRPr="00FA0B69">
        <w:rPr>
          <w:color w:val="000000" w:themeColor="text1"/>
          <w:lang w:val="en-US"/>
        </w:rPr>
        <w:t>Majid</w:t>
      </w:r>
      <w:proofErr w:type="spellEnd"/>
      <w:r w:rsidRPr="00FA0B69">
        <w:rPr>
          <w:color w:val="000000" w:themeColor="text1"/>
          <w:lang w:val="en-US"/>
        </w:rPr>
        <w:t xml:space="preserve">, N., </w:t>
      </w:r>
      <w:proofErr w:type="spellStart"/>
      <w:r w:rsidRPr="00FA0B69">
        <w:rPr>
          <w:color w:val="000000" w:themeColor="text1"/>
          <w:lang w:val="en-US"/>
        </w:rPr>
        <w:t>Ariffin</w:t>
      </w:r>
      <w:proofErr w:type="spellEnd"/>
      <w:r w:rsidRPr="00FA0B69">
        <w:rPr>
          <w:color w:val="000000" w:themeColor="text1"/>
          <w:lang w:val="en-US"/>
        </w:rPr>
        <w:t xml:space="preserve">, N. M., (2011), Corporate governance of Islamic financial institutions in Malaysia, </w:t>
      </w:r>
      <w:r w:rsidRPr="00927903">
        <w:rPr>
          <w:rFonts w:ascii="Quadraat-Italic" w:hAnsi="Quadraat-Italic" w:cs="Quadraat-Italic"/>
          <w:color w:val="000000"/>
          <w:lang w:val="en-US"/>
        </w:rPr>
        <w:t>Paper presented at the Proceedings</w:t>
      </w:r>
      <w:r w:rsidR="009E0A07">
        <w:rPr>
          <w:rFonts w:ascii="Quadraat-Italic" w:hAnsi="Quadraat-Italic" w:cs="Quadraat-Italic"/>
          <w:color w:val="000000"/>
          <w:lang w:val="en-US"/>
        </w:rPr>
        <w:t xml:space="preserve"> </w:t>
      </w:r>
      <w:r>
        <w:rPr>
          <w:color w:val="000000" w:themeColor="text1"/>
          <w:lang w:val="en-US"/>
        </w:rPr>
        <w:t xml:space="preserve">of the </w:t>
      </w:r>
      <w:r w:rsidRPr="00FA0B69">
        <w:rPr>
          <w:color w:val="000000" w:themeColor="text1"/>
          <w:lang w:val="en-US"/>
        </w:rPr>
        <w:t>8</w:t>
      </w:r>
      <w:r w:rsidRPr="00FA0B69">
        <w:rPr>
          <w:color w:val="000000" w:themeColor="text1"/>
          <w:vertAlign w:val="superscript"/>
          <w:lang w:val="en-US"/>
        </w:rPr>
        <w:t>th</w:t>
      </w:r>
      <w:r w:rsidRPr="00FA0B69">
        <w:rPr>
          <w:color w:val="000000" w:themeColor="text1"/>
          <w:lang w:val="en-US"/>
        </w:rPr>
        <w:t xml:space="preserve"> International Conference on Islamic Economics and Finance, Doha, Qatar.</w:t>
      </w:r>
    </w:p>
    <w:p w:rsidR="00693AF8" w:rsidRPr="00FA0B69" w:rsidRDefault="00693AF8" w:rsidP="00693AF8">
      <w:pPr>
        <w:tabs>
          <w:tab w:val="right" w:pos="720"/>
        </w:tabs>
        <w:ind w:left="527" w:hanging="527"/>
        <w:jc w:val="both"/>
        <w:rPr>
          <w:color w:val="000000" w:themeColor="text1"/>
          <w:sz w:val="28"/>
          <w:szCs w:val="28"/>
          <w:lang w:val="en-US"/>
        </w:rPr>
      </w:pPr>
      <w:proofErr w:type="spellStart"/>
      <w:r w:rsidRPr="00FA0B69">
        <w:rPr>
          <w:color w:val="000000" w:themeColor="text1"/>
          <w:lang w:val="en-US"/>
        </w:rPr>
        <w:t>Vinnicombe</w:t>
      </w:r>
      <w:proofErr w:type="spellEnd"/>
      <w:r w:rsidRPr="00FA0B69">
        <w:rPr>
          <w:color w:val="000000" w:themeColor="text1"/>
          <w:lang w:val="en-US"/>
        </w:rPr>
        <w:t>, T., (2010), AAOIFI reporting standards: Measuring compliance,</w:t>
      </w:r>
      <w:r w:rsidRPr="00FA0B69">
        <w:rPr>
          <w:i/>
          <w:iCs/>
          <w:color w:val="000000" w:themeColor="text1"/>
          <w:lang w:val="en-US"/>
        </w:rPr>
        <w:t xml:space="preserve"> Advances in Accounting, </w:t>
      </w:r>
      <w:r>
        <w:rPr>
          <w:i/>
          <w:iCs/>
          <w:color w:val="000000" w:themeColor="text1"/>
          <w:lang w:val="en-US"/>
        </w:rPr>
        <w:t>I</w:t>
      </w:r>
      <w:r w:rsidRPr="00FA0B69">
        <w:rPr>
          <w:i/>
          <w:iCs/>
          <w:color w:val="000000" w:themeColor="text1"/>
          <w:lang w:val="en-US"/>
        </w:rPr>
        <w:t>ncorporating Advances in International Accounting</w:t>
      </w:r>
      <w:r w:rsidRPr="00FA0B69">
        <w:rPr>
          <w:color w:val="000000" w:themeColor="text1"/>
          <w:lang w:val="en-US"/>
        </w:rPr>
        <w:t>, 26, pp.55-65.</w:t>
      </w:r>
    </w:p>
    <w:p w:rsidR="007C2199" w:rsidRPr="00693AF8" w:rsidRDefault="00693AF8" w:rsidP="006E3805">
      <w:pPr>
        <w:tabs>
          <w:tab w:val="right" w:pos="720"/>
        </w:tabs>
        <w:ind w:left="527" w:hanging="527"/>
        <w:jc w:val="both"/>
        <w:rPr>
          <w:lang w:val="en-US"/>
        </w:rPr>
      </w:pPr>
      <w:proofErr w:type="spellStart"/>
      <w:r w:rsidRPr="00FA0B69">
        <w:rPr>
          <w:color w:val="000000" w:themeColor="text1"/>
          <w:lang w:val="en-US"/>
        </w:rPr>
        <w:t>Yermack</w:t>
      </w:r>
      <w:proofErr w:type="spellEnd"/>
      <w:r w:rsidRPr="00FA0B69">
        <w:rPr>
          <w:color w:val="000000" w:themeColor="text1"/>
          <w:lang w:val="en-US"/>
        </w:rPr>
        <w:t>, D., (1996), Higher market valuation of companies with a small board of directors,</w:t>
      </w:r>
      <w:r w:rsidRPr="00FA0B69">
        <w:rPr>
          <w:i/>
          <w:iCs/>
          <w:color w:val="000000" w:themeColor="text1"/>
          <w:lang w:val="en-US"/>
        </w:rPr>
        <w:t xml:space="preserve"> Journal of Financial Economics</w:t>
      </w:r>
      <w:r w:rsidRPr="00FA0B69">
        <w:rPr>
          <w:color w:val="000000" w:themeColor="text1"/>
          <w:lang w:val="en-US"/>
        </w:rPr>
        <w:t>, 40, pp.185-211.</w:t>
      </w:r>
    </w:p>
    <w:sectPr w:rsidR="007C2199" w:rsidRPr="00693AF8" w:rsidSect="006E08EA">
      <w:headerReference w:type="even" r:id="rId8"/>
      <w:headerReference w:type="default" r:id="rId9"/>
      <w:headerReference w:type="first" r:id="rId10"/>
      <w:footnotePr>
        <w:numFmt w:val="chicago"/>
      </w:footnotePr>
      <w:type w:val="nextColumn"/>
      <w:pgSz w:w="10886" w:h="14854" w:code="9"/>
      <w:pgMar w:top="748" w:right="1196" w:bottom="720" w:left="1151" w:header="907" w:footer="119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2BB0" w:rsidRDefault="00EC2BB0">
      <w:r>
        <w:separator/>
      </w:r>
    </w:p>
  </w:endnote>
  <w:endnote w:type="continuationSeparator" w:id="0">
    <w:p w:rsidR="00EC2BB0" w:rsidRDefault="00EC2BB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D99B44BC-DBA7-4D88-88C0-AA87E5443359}"/>
  </w:font>
  <w:font w:name="Calibri">
    <w:panose1 w:val="020F0502020204030204"/>
    <w:charset w:val="00"/>
    <w:family w:val="swiss"/>
    <w:pitch w:val="variable"/>
    <w:sig w:usb0="E00002FF" w:usb1="4000ACFF" w:usb2="00000001" w:usb3="00000000" w:csb0="0000019F" w:csb1="00000000"/>
    <w:embedRegular r:id="rId2" w:fontKey="{222A2785-DA84-442D-955F-4D1E803B0661}"/>
    <w:embedBold r:id="rId3" w:fontKey="{142CE57C-31E0-490E-AE57-EEAF6615362F}"/>
    <w:embedItalic r:id="rId4" w:fontKey="{3E64D951-F981-4298-8A75-C96F0F1D49C2}"/>
  </w:font>
  <w:font w:name="Cambria Math">
    <w:panose1 w:val="02040503050406030204"/>
    <w:charset w:val="00"/>
    <w:family w:val="roman"/>
    <w:pitch w:val="variable"/>
    <w:sig w:usb0="E00002FF" w:usb1="420024FF" w:usb2="00000000" w:usb3="00000000" w:csb0="0000019F" w:csb1="00000000"/>
    <w:embedItalic r:id="rId5" w:fontKey="{7DF3AC2B-EE6E-48EA-937E-65F6E8BF7708}"/>
  </w:font>
  <w:font w:name="AHT Times New Roman">
    <w:charset w:val="00"/>
    <w:family w:val="roman"/>
    <w:pitch w:val="variable"/>
    <w:sig w:usb0="00000003" w:usb1="00000000" w:usb2="00000000" w:usb3="00000000" w:csb0="00000001" w:csb1="00000000"/>
    <w:embedRegular r:id="rId6" w:fontKey="{A654DF25-03C9-4C47-BE18-B1CA49A58FDC}"/>
    <w:embedBold r:id="rId7" w:fontKey="{05D70DED-4A51-43E6-AE31-03E8283CFCF8}"/>
  </w:font>
  <w:font w:name="Quadraat-SmallCaps">
    <w:altName w:val="Times New Roman"/>
    <w:panose1 w:val="00000000000000000000"/>
    <w:charset w:val="00"/>
    <w:family w:val="roman"/>
    <w:notTrueType/>
    <w:pitch w:val="default"/>
    <w:sig w:usb0="00000003" w:usb1="00000000" w:usb2="00000000" w:usb3="00000000" w:csb0="00000001" w:csb1="00000000"/>
  </w:font>
  <w:font w:name="Quadraat-Regular">
    <w:altName w:val="Times New Roman"/>
    <w:panose1 w:val="00000000000000000000"/>
    <w:charset w:val="00"/>
    <w:family w:val="roman"/>
    <w:notTrueType/>
    <w:pitch w:val="default"/>
    <w:sig w:usb0="00000003" w:usb1="00000000" w:usb2="00000000" w:usb3="00000000" w:csb0="00000001" w:csb1="00000000"/>
  </w:font>
  <w:font w:name="Quadraat-Italic">
    <w:altName w:val="Times New Roman"/>
    <w:panose1 w:val="00000000000000000000"/>
    <w:charset w:val="00"/>
    <w:family w:val="roman"/>
    <w:notTrueType/>
    <w:pitch w:val="default"/>
    <w:sig w:usb0="00000003" w:usb1="00000000" w:usb2="00000000" w:usb3="00000000" w:csb0="00000001" w:csb1="00000000"/>
  </w:font>
  <w:font w:name="AdvPTimes">
    <w:altName w:val="Times New Roman"/>
    <w:panose1 w:val="00000000000000000000"/>
    <w:charset w:val="00"/>
    <w:family w:val="roman"/>
    <w:notTrueType/>
    <w:pitch w:val="default"/>
    <w:sig w:usb0="00000003" w:usb1="00000000" w:usb2="00000000" w:usb3="00000000" w:csb0="00000001" w:csb1="00000000"/>
  </w:font>
  <w:font w:name="AdvPTimes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embedRegular r:id="rId8" w:fontKey="{9F7EDEC8-3B00-4AD9-8FA2-7C4E1C7842AE}"/>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2BB0" w:rsidRDefault="00EC2BB0">
      <w:pPr>
        <w:pStyle w:val="Footer"/>
        <w:rPr>
          <w:lang w:val="en-GB"/>
        </w:rPr>
      </w:pPr>
      <w:r>
        <w:rPr>
          <w:lang w:val="en-MY" w:eastAsia="en-MY"/>
        </w:rPr>
        <w:drawing>
          <wp:inline distT="0" distB="0" distL="0" distR="0">
            <wp:extent cx="561975" cy="19050"/>
            <wp:effectExtent l="19050" t="0" r="9525" b="0"/>
            <wp:docPr id="3"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srcRect/>
                    <a:stretch>
                      <a:fillRect/>
                    </a:stretch>
                  </pic:blipFill>
                  <pic:spPr bwMode="auto">
                    <a:xfrm>
                      <a:off x="0" y="0"/>
                      <a:ext cx="561975" cy="19050"/>
                    </a:xfrm>
                    <a:prstGeom prst="rect">
                      <a:avLst/>
                    </a:prstGeom>
                    <a:noFill/>
                    <a:ln w="9525">
                      <a:noFill/>
                      <a:miter lim="800000"/>
                      <a:headEnd/>
                      <a:tailEnd/>
                    </a:ln>
                  </pic:spPr>
                </pic:pic>
              </a:graphicData>
            </a:graphic>
          </wp:inline>
        </w:drawing>
      </w:r>
    </w:p>
  </w:footnote>
  <w:footnote w:type="continuationSeparator" w:id="0">
    <w:p w:rsidR="00EC2BB0" w:rsidRDefault="00EC2B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199" w:rsidRDefault="0033218A" w:rsidP="00740D53">
    <w:pPr>
      <w:pStyle w:val="Header"/>
      <w:tabs>
        <w:tab w:val="center" w:pos="4920"/>
      </w:tabs>
    </w:pPr>
    <w:r>
      <w:rPr>
        <w:rStyle w:val="PageNumber"/>
        <w:i w:val="0"/>
      </w:rPr>
      <w:fldChar w:fldCharType="begin"/>
    </w:r>
    <w:r w:rsidR="007C2199">
      <w:rPr>
        <w:rStyle w:val="PageNumber"/>
        <w:i w:val="0"/>
      </w:rPr>
      <w:instrText xml:space="preserve"> PAGE </w:instrText>
    </w:r>
    <w:r>
      <w:rPr>
        <w:rStyle w:val="PageNumber"/>
        <w:i w:val="0"/>
      </w:rPr>
      <w:fldChar w:fldCharType="separate"/>
    </w:r>
    <w:r w:rsidR="009E0A07">
      <w:rPr>
        <w:rStyle w:val="PageNumber"/>
        <w:i w:val="0"/>
      </w:rPr>
      <w:t>14</w:t>
    </w:r>
    <w:r>
      <w:rPr>
        <w:rStyle w:val="PageNumber"/>
        <w:i w:val="0"/>
      </w:rPr>
      <w:fldChar w:fldCharType="end"/>
    </w:r>
    <w:r w:rsidR="007C2199">
      <w:tab/>
    </w:r>
    <w:r w:rsidR="00AB18F9">
      <w:t>Journal of Islamic Finance</w:t>
    </w:r>
    <w:r w:rsidR="00511783">
      <w:t xml:space="preserve">, </w:t>
    </w:r>
    <w:r w:rsidR="00AB18F9">
      <w:t>Vol.</w:t>
    </w:r>
    <w:r w:rsidR="007E1212">
      <w:t>4</w:t>
    </w:r>
    <w:r w:rsidR="00AB18F9">
      <w:t xml:space="preserve"> No.</w:t>
    </w:r>
    <w:r w:rsidR="007E1212">
      <w:t>2</w:t>
    </w:r>
    <w:r w:rsidR="007C2199">
      <w:t xml:space="preserve"> (</w:t>
    </w:r>
    <w:r>
      <w:fldChar w:fldCharType="begin"/>
    </w:r>
    <w:r w:rsidR="007C2199">
      <w:instrText xml:space="preserve"> DATE \@ "yyyy" \* MERGEFORMAT </w:instrText>
    </w:r>
    <w:r>
      <w:fldChar w:fldCharType="separate"/>
    </w:r>
    <w:r w:rsidR="009D41AD">
      <w:t>2015</w:t>
    </w:r>
    <w:r>
      <w:fldChar w:fldCharType="end"/>
    </w:r>
    <w:r w:rsidR="007C2199">
      <w:t>) 00</w:t>
    </w:r>
    <w:r w:rsidR="00AB18F9">
      <w:t>1</w:t>
    </w:r>
    <w:r w:rsidR="007C2199">
      <w:t>–0</w:t>
    </w:r>
    <w:r w:rsidR="00AB18F9">
      <w:t>1</w:t>
    </w:r>
    <w:r w:rsidR="00511783">
      <w:t>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199" w:rsidRPr="006632F1" w:rsidRDefault="006632F1" w:rsidP="006632F1">
    <w:pPr>
      <w:spacing w:after="240" w:line="200" w:lineRule="atLeast"/>
      <w:jc w:val="center"/>
      <w:rPr>
        <w:i/>
        <w:iCs/>
        <w:sz w:val="16"/>
        <w:szCs w:val="16"/>
      </w:rPr>
    </w:pPr>
    <w:r>
      <w:rPr>
        <w:i/>
        <w:iCs/>
        <w:sz w:val="16"/>
        <w:szCs w:val="16"/>
      </w:rPr>
      <w:t xml:space="preserve">            </w:t>
    </w:r>
    <w:proofErr w:type="spellStart"/>
    <w:r w:rsidRPr="006632F1">
      <w:rPr>
        <w:i/>
        <w:iCs/>
        <w:sz w:val="16"/>
        <w:szCs w:val="16"/>
        <w:lang w:val="en-US"/>
      </w:rPr>
      <w:t>Samir</w:t>
    </w:r>
    <w:proofErr w:type="spellEnd"/>
    <w:r w:rsidRPr="006632F1">
      <w:rPr>
        <w:i/>
        <w:iCs/>
        <w:sz w:val="16"/>
        <w:szCs w:val="16"/>
        <w:lang w:val="en-US"/>
      </w:rPr>
      <w:t xml:space="preserve"> </w:t>
    </w:r>
    <w:proofErr w:type="spellStart"/>
    <w:r w:rsidRPr="006632F1">
      <w:rPr>
        <w:i/>
        <w:iCs/>
        <w:sz w:val="16"/>
        <w:szCs w:val="16"/>
        <w:lang w:val="en-US"/>
      </w:rPr>
      <w:t>Srairi</w:t>
    </w:r>
    <w:proofErr w:type="spellEnd"/>
    <w:r w:rsidR="004E3567" w:rsidRPr="006632F1">
      <w:rPr>
        <w:i/>
        <w:iCs/>
        <w:sz w:val="16"/>
        <w:szCs w:val="16"/>
      </w:rPr>
      <w:t xml:space="preserve"> / </w:t>
    </w:r>
    <w:r w:rsidRPr="006632F1">
      <w:rPr>
        <w:rFonts w:asciiTheme="majorBidi" w:hAnsiTheme="majorBidi" w:cstheme="majorBidi"/>
        <w:i/>
        <w:iCs/>
        <w:sz w:val="16"/>
        <w:szCs w:val="16"/>
        <w:lang w:val="en-US"/>
      </w:rPr>
      <w:t xml:space="preserve">Corporate Governance Disclosure Practices and Performance </w:t>
    </w:r>
    <w:r w:rsidRPr="006632F1">
      <w:rPr>
        <w:i/>
        <w:iCs/>
        <w:sz w:val="16"/>
        <w:szCs w:val="16"/>
      </w:rPr>
      <w:t>of Islamic Banks in GCC Countries</w:t>
    </w:r>
    <w:r>
      <w:rPr>
        <w:i/>
        <w:iCs/>
        <w:sz w:val="16"/>
        <w:szCs w:val="16"/>
      </w:rPr>
      <w:tab/>
      <w:t xml:space="preserve">          </w:t>
    </w:r>
    <w:r w:rsidR="0033218A" w:rsidRPr="006632F1">
      <w:rPr>
        <w:rStyle w:val="PageNumber"/>
        <w:i/>
        <w:iCs/>
        <w:szCs w:val="16"/>
      </w:rPr>
      <w:fldChar w:fldCharType="begin"/>
    </w:r>
    <w:r w:rsidR="007C2199" w:rsidRPr="006632F1">
      <w:rPr>
        <w:rStyle w:val="PageNumber"/>
        <w:i/>
        <w:iCs/>
        <w:szCs w:val="16"/>
      </w:rPr>
      <w:instrText xml:space="preserve"> PAGE </w:instrText>
    </w:r>
    <w:r w:rsidR="0033218A" w:rsidRPr="006632F1">
      <w:rPr>
        <w:rStyle w:val="PageNumber"/>
        <w:i/>
        <w:iCs/>
        <w:szCs w:val="16"/>
      </w:rPr>
      <w:fldChar w:fldCharType="separate"/>
    </w:r>
    <w:r w:rsidR="009E0A07">
      <w:rPr>
        <w:rStyle w:val="PageNumber"/>
        <w:i/>
        <w:iCs/>
        <w:noProof/>
        <w:szCs w:val="16"/>
      </w:rPr>
      <w:t>15</w:t>
    </w:r>
    <w:r w:rsidR="0033218A" w:rsidRPr="006632F1">
      <w:rPr>
        <w:rStyle w:val="PageNumber"/>
        <w:i/>
        <w:iCs/>
        <w:szCs w:val="16"/>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199" w:rsidRDefault="0033218A" w:rsidP="00BE0226">
    <w:pPr>
      <w:pStyle w:val="Header"/>
      <w:tabs>
        <w:tab w:val="clear" w:pos="4706"/>
        <w:tab w:val="clear" w:pos="9356"/>
        <w:tab w:val="right" w:pos="9115"/>
      </w:tabs>
    </w:pPr>
    <w:r w:rsidRPr="0033218A">
      <w:pict>
        <v:group id="Group 4" o:spid="_x0000_s4097" style="position:absolute;margin-left:90pt;margin-top:-25.5pt;width:354.45pt;height:46.95pt;z-index:251657728" coordorigin="576,397" coordsize="7089,9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4099" type="#_x0000_t75" alt="ANd9GcR-qilIEZdLuUWv07tuAMBFBUOtpYhYaM3arwYBgzDTXkuqxceEEA" style="position:absolute;left:576;top:397;width:939;height:9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WF9zCAAAA2gAAAA8AAABkcnMvZG93bnJldi54bWxEj0GLwjAUhO+C/yE8YW+aKihajSKC6OJh&#10;WS14fTTPtrR5qU1su/9+IyzscZiZb5jNrjeVaKlxhWUF00kEgji1uuBMQXI7jpcgnEfWWFkmBT/k&#10;YLcdDjYYa9vxN7VXn4kAYRejgtz7OpbSpTkZdBNbEwfvYRuDPsgmk7rBLsBNJWdRtJAGCw4LOdZ0&#10;yCktry+joFsdnosyPZW27b8uS0o+ZXKfK/Ux6vdrEJ56/x/+a5+1ghm8r4QbIL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1hfcwgAAANoAAAAPAAAAAAAAAAAAAAAAAJ8C&#10;AABkcnMvZG93bnJldi54bWxQSwUGAAAAAAQABAD3AAAAjgMAAAAA&#10;">
            <v:imagedata r:id="rId1" o:title="ANd9GcR-qilIEZdLuUWv07tuAMBFBUOtpYhYaM3arwYBgzDTXkuqxceEEA"/>
          </v:shape>
          <v:rect id="Rectangle 2" o:spid="_x0000_s4098" style="position:absolute;left:1665;top:540;width:6000;height: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RAhsMA&#10;AADaAAAADwAAAGRycy9kb3ducmV2LnhtbESPQWvCQBSE74L/YXlCL6KbFpE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RAhsMAAADaAAAADwAAAAAAAAAAAAAAAACYAgAAZHJzL2Rv&#10;d25yZXYueG1sUEsFBgAAAAAEAAQA9QAAAIgDAAAAAA==&#10;" filled="f" stroked="f">
            <v:textbox>
              <w:txbxContent>
                <w:p w:rsidR="00BE0226" w:rsidRPr="00BE0226" w:rsidRDefault="00BE0226" w:rsidP="00FF6636">
                  <w:pPr>
                    <w:rPr>
                      <w:lang w:val="en-US"/>
                    </w:rPr>
                  </w:pPr>
                  <w:r w:rsidRPr="00BE0226">
                    <w:rPr>
                      <w:i/>
                      <w:iCs/>
                      <w:lang w:val="en-US"/>
                    </w:rPr>
                    <w:t>Journal of Islamic Finance</w:t>
                  </w:r>
                  <w:r w:rsidRPr="00BE0226">
                    <w:rPr>
                      <w:lang w:val="en-US"/>
                    </w:rPr>
                    <w:t xml:space="preserve">, Vol. </w:t>
                  </w:r>
                  <w:r w:rsidR="007E1212">
                    <w:rPr>
                      <w:lang w:val="en-US"/>
                    </w:rPr>
                    <w:t>4</w:t>
                  </w:r>
                  <w:r w:rsidRPr="00BE0226">
                    <w:rPr>
                      <w:lang w:val="en-US"/>
                    </w:rPr>
                    <w:t xml:space="preserve"> No. </w:t>
                  </w:r>
                  <w:r w:rsidR="007E1212">
                    <w:rPr>
                      <w:lang w:val="en-US"/>
                    </w:rPr>
                    <w:t>2</w:t>
                  </w:r>
                  <w:r w:rsidRPr="00BE0226">
                    <w:rPr>
                      <w:lang w:val="en-US"/>
                    </w:rPr>
                    <w:t xml:space="preserve"> (201</w:t>
                  </w:r>
                  <w:r w:rsidR="00FF6636">
                    <w:rPr>
                      <w:lang w:val="en-US"/>
                    </w:rPr>
                    <w:t>5</w:t>
                  </w:r>
                  <w:r w:rsidRPr="00BE0226">
                    <w:rPr>
                      <w:lang w:val="en-US"/>
                    </w:rPr>
                    <w:t>) 001 – 01</w:t>
                  </w:r>
                  <w:r w:rsidR="00CB30C6">
                    <w:rPr>
                      <w:lang w:val="en-US"/>
                    </w:rPr>
                    <w:t>7</w:t>
                  </w:r>
                  <w:r w:rsidRPr="00BE0226">
                    <w:rPr>
                      <w:lang w:val="en-US"/>
                    </w:rPr>
                    <w:t>.</w:t>
                  </w:r>
                </w:p>
                <w:p w:rsidR="00BE0226" w:rsidRPr="00BE0226" w:rsidRDefault="00BE0226">
                  <w:pPr>
                    <w:rPr>
                      <w:lang w:val="en-US"/>
                    </w:rPr>
                  </w:pPr>
                  <w:r w:rsidRPr="00BE0226">
                    <w:rPr>
                      <w:lang w:val="en-US"/>
                    </w:rPr>
                    <w:t>IIUM Institute of Islamic Banking and Finance</w:t>
                  </w:r>
                </w:p>
                <w:p w:rsidR="00BE0226" w:rsidRPr="00BE0226" w:rsidRDefault="00BE0226">
                  <w:pPr>
                    <w:rPr>
                      <w:lang w:val="en-US"/>
                    </w:rPr>
                  </w:pPr>
                  <w:r w:rsidRPr="00BE0226">
                    <w:rPr>
                      <w:lang w:val="en-US"/>
                    </w:rPr>
                    <w:t xml:space="preserve">ISSN </w:t>
                  </w:r>
                  <w:r>
                    <w:rPr>
                      <w:lang w:val="en-US"/>
                    </w:rPr>
                    <w:t>1234 5678</w:t>
                  </w:r>
                </w:p>
              </w:txbxContent>
            </v:textbox>
          </v:rect>
        </v:group>
      </w:pict>
    </w:r>
    <w:r w:rsidR="00BE0226">
      <w:tab/>
    </w:r>
  </w:p>
  <w:p w:rsidR="00BE0226" w:rsidRPr="00AB18F9" w:rsidRDefault="00BE0226" w:rsidP="00BE0226">
    <w:pPr>
      <w:pStyle w:val="Header"/>
      <w:tabs>
        <w:tab w:val="clear" w:pos="4706"/>
        <w:tab w:val="clear" w:pos="9356"/>
        <w:tab w:val="right" w:pos="911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0F4A"/>
    <w:multiLevelType w:val="hybridMultilevel"/>
    <w:tmpl w:val="7B420C84"/>
    <w:lvl w:ilvl="0" w:tplc="F990BA98">
      <w:start w:val="1"/>
      <w:numFmt w:val="decimal"/>
      <w:pStyle w:val="numberedpointEmerald"/>
      <w:lvlText w:val="%1."/>
      <w:lvlJc w:val="left"/>
      <w:pPr>
        <w:tabs>
          <w:tab w:val="num" w:pos="720"/>
        </w:tabs>
        <w:ind w:left="720" w:hanging="360"/>
      </w:pPr>
      <w:rPr>
        <w:rFonts w:ascii="Arial" w:hAnsi="Arial" w:hint="default"/>
        <w:b w:val="0"/>
        <w:i w:val="0"/>
        <w:color w:val="000000"/>
        <w:sz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2">
    <w:nsid w:val="21306BD6"/>
    <w:multiLevelType w:val="hybridMultilevel"/>
    <w:tmpl w:val="49C8F0F6"/>
    <w:lvl w:ilvl="0" w:tplc="0204D028">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435F3B"/>
    <w:multiLevelType w:val="hybridMultilevel"/>
    <w:tmpl w:val="3C8672DC"/>
    <w:lvl w:ilvl="0" w:tplc="1236EE00">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5">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6">
    <w:nsid w:val="541A3EBD"/>
    <w:multiLevelType w:val="hybridMultilevel"/>
    <w:tmpl w:val="BD52A20C"/>
    <w:lvl w:ilvl="0" w:tplc="6486FF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8">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9">
    <w:nsid w:val="6A1A2AA4"/>
    <w:multiLevelType w:val="singleLevel"/>
    <w:tmpl w:val="ADE6E3E4"/>
    <w:lvl w:ilvl="0">
      <w:start w:val="1"/>
      <w:numFmt w:val="bullet"/>
      <w:pStyle w:val="BulletpointEmerald"/>
      <w:lvlText w:val=""/>
      <w:lvlJc w:val="left"/>
      <w:pPr>
        <w:tabs>
          <w:tab w:val="num" w:pos="360"/>
        </w:tabs>
        <w:ind w:left="360" w:hanging="360"/>
      </w:pPr>
      <w:rPr>
        <w:rFonts w:ascii="Symbol" w:hAnsi="Symbol" w:hint="default"/>
        <w:sz w:val="16"/>
      </w:rPr>
    </w:lvl>
  </w:abstractNum>
  <w:abstractNum w:abstractNumId="10">
    <w:nsid w:val="788433FE"/>
    <w:multiLevelType w:val="hybridMultilevel"/>
    <w:tmpl w:val="4F4A4D70"/>
    <w:lvl w:ilvl="0" w:tplc="F9C0EE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8"/>
  </w:num>
  <w:num w:numId="3">
    <w:abstractNumId w:val="1"/>
  </w:num>
  <w:num w:numId="4">
    <w:abstractNumId w:val="5"/>
  </w:num>
  <w:num w:numId="5">
    <w:abstractNumId w:val="7"/>
  </w:num>
  <w:num w:numId="6">
    <w:abstractNumId w:val="7"/>
  </w:num>
  <w:num w:numId="7">
    <w:abstractNumId w:val="7"/>
  </w:num>
  <w:num w:numId="8">
    <w:abstractNumId w:val="7"/>
  </w:num>
  <w:num w:numId="9">
    <w:abstractNumId w:val="9"/>
  </w:num>
  <w:num w:numId="10">
    <w:abstractNumId w:val="0"/>
  </w:num>
  <w:num w:numId="11">
    <w:abstractNumId w:val="10"/>
  </w:num>
  <w:num w:numId="12">
    <w:abstractNumId w:val="2"/>
  </w:num>
  <w:num w:numId="13">
    <w:abstractNumId w:val="6"/>
  </w:num>
  <w:num w:numId="14">
    <w:abstractNumId w:val="3"/>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PostScriptOverText/>
  <w:embedTrueTypeFonts/>
  <w:proofState w:spelling="clean" w:grammar="clean"/>
  <w:attachedTemplate r:id="rId1"/>
  <w:defaultTabStop w:val="720"/>
  <w:evenAndOddHeaders/>
  <w:drawingGridHorizontalSpacing w:val="120"/>
  <w:drawingGridVerticalSpacing w:val="120"/>
  <w:noPunctuationKerning/>
  <w:characterSpacingControl w:val="doNotCompress"/>
  <w:hdrShapeDefaults>
    <o:shapedefaults v:ext="edit" spidmax="4101"/>
    <o:shapelayout v:ext="edit">
      <o:idmap v:ext="edit" data="4"/>
    </o:shapelayout>
  </w:hdrShapeDefaults>
  <w:footnotePr>
    <w:numFmt w:val="chicago"/>
    <w:footnote w:id="-1"/>
    <w:footnote w:id="0"/>
  </w:footnotePr>
  <w:endnotePr>
    <w:endnote w:id="-1"/>
    <w:endnote w:id="0"/>
  </w:endnotePr>
  <w:compat>
    <w:useFELayout/>
  </w:compat>
  <w:rsids>
    <w:rsidRoot w:val="009933D5"/>
    <w:rsid w:val="00057E53"/>
    <w:rsid w:val="00067C32"/>
    <w:rsid w:val="00073A24"/>
    <w:rsid w:val="000F10F5"/>
    <w:rsid w:val="000F6959"/>
    <w:rsid w:val="0010758D"/>
    <w:rsid w:val="001169AA"/>
    <w:rsid w:val="0012128B"/>
    <w:rsid w:val="001751B5"/>
    <w:rsid w:val="002308F8"/>
    <w:rsid w:val="00246EAA"/>
    <w:rsid w:val="002661A2"/>
    <w:rsid w:val="00280318"/>
    <w:rsid w:val="002907C3"/>
    <w:rsid w:val="00303C74"/>
    <w:rsid w:val="003252E3"/>
    <w:rsid w:val="0033218A"/>
    <w:rsid w:val="003335C2"/>
    <w:rsid w:val="00335FAF"/>
    <w:rsid w:val="003404C3"/>
    <w:rsid w:val="00342C06"/>
    <w:rsid w:val="003550E0"/>
    <w:rsid w:val="0038244E"/>
    <w:rsid w:val="00391FE6"/>
    <w:rsid w:val="003A611A"/>
    <w:rsid w:val="003B2442"/>
    <w:rsid w:val="003C7412"/>
    <w:rsid w:val="004014D4"/>
    <w:rsid w:val="00417AB6"/>
    <w:rsid w:val="00443844"/>
    <w:rsid w:val="004E3567"/>
    <w:rsid w:val="00511783"/>
    <w:rsid w:val="00513C63"/>
    <w:rsid w:val="0055322F"/>
    <w:rsid w:val="005A41BC"/>
    <w:rsid w:val="005C172F"/>
    <w:rsid w:val="005C3FDE"/>
    <w:rsid w:val="005D5E63"/>
    <w:rsid w:val="005D66BE"/>
    <w:rsid w:val="005D6B33"/>
    <w:rsid w:val="005F04A8"/>
    <w:rsid w:val="005F7A2C"/>
    <w:rsid w:val="00616586"/>
    <w:rsid w:val="00616F08"/>
    <w:rsid w:val="00632B19"/>
    <w:rsid w:val="00633CE2"/>
    <w:rsid w:val="00662E45"/>
    <w:rsid w:val="006632F1"/>
    <w:rsid w:val="00693AF8"/>
    <w:rsid w:val="006A6185"/>
    <w:rsid w:val="006A711D"/>
    <w:rsid w:val="006B7BDB"/>
    <w:rsid w:val="006C31A8"/>
    <w:rsid w:val="006E08EA"/>
    <w:rsid w:val="006E3805"/>
    <w:rsid w:val="006F4D7A"/>
    <w:rsid w:val="007056AF"/>
    <w:rsid w:val="00726B51"/>
    <w:rsid w:val="00740D53"/>
    <w:rsid w:val="00741522"/>
    <w:rsid w:val="00753E5B"/>
    <w:rsid w:val="007C2199"/>
    <w:rsid w:val="007E1212"/>
    <w:rsid w:val="007E390B"/>
    <w:rsid w:val="00802C8C"/>
    <w:rsid w:val="00805E6D"/>
    <w:rsid w:val="00807E5B"/>
    <w:rsid w:val="00831653"/>
    <w:rsid w:val="00847EF7"/>
    <w:rsid w:val="00857A23"/>
    <w:rsid w:val="008A2CE4"/>
    <w:rsid w:val="009227CA"/>
    <w:rsid w:val="00974B0F"/>
    <w:rsid w:val="009933D5"/>
    <w:rsid w:val="009A7147"/>
    <w:rsid w:val="009D41AD"/>
    <w:rsid w:val="009E0A07"/>
    <w:rsid w:val="009E12A9"/>
    <w:rsid w:val="009F44CD"/>
    <w:rsid w:val="00A06086"/>
    <w:rsid w:val="00A11DED"/>
    <w:rsid w:val="00A24A5C"/>
    <w:rsid w:val="00A27C5F"/>
    <w:rsid w:val="00A345D7"/>
    <w:rsid w:val="00AB18F9"/>
    <w:rsid w:val="00AB789C"/>
    <w:rsid w:val="00B054AE"/>
    <w:rsid w:val="00B12469"/>
    <w:rsid w:val="00B2210B"/>
    <w:rsid w:val="00B36F51"/>
    <w:rsid w:val="00BB5401"/>
    <w:rsid w:val="00BD70B7"/>
    <w:rsid w:val="00BE0226"/>
    <w:rsid w:val="00BE2709"/>
    <w:rsid w:val="00BF1913"/>
    <w:rsid w:val="00C001DA"/>
    <w:rsid w:val="00C71A11"/>
    <w:rsid w:val="00CB30C6"/>
    <w:rsid w:val="00CC7C63"/>
    <w:rsid w:val="00CE1BB8"/>
    <w:rsid w:val="00D15FF8"/>
    <w:rsid w:val="00D36EA3"/>
    <w:rsid w:val="00D60178"/>
    <w:rsid w:val="00D70753"/>
    <w:rsid w:val="00D90DB2"/>
    <w:rsid w:val="00DA755C"/>
    <w:rsid w:val="00DE0F0E"/>
    <w:rsid w:val="00E14962"/>
    <w:rsid w:val="00E1762C"/>
    <w:rsid w:val="00E268D5"/>
    <w:rsid w:val="00E3689E"/>
    <w:rsid w:val="00EC2BB0"/>
    <w:rsid w:val="00EE0BC1"/>
    <w:rsid w:val="00EE1908"/>
    <w:rsid w:val="00EE2982"/>
    <w:rsid w:val="00F13FC2"/>
    <w:rsid w:val="00F22F34"/>
    <w:rsid w:val="00F30B5F"/>
    <w:rsid w:val="00F56795"/>
    <w:rsid w:val="00F828A0"/>
    <w:rsid w:val="00FE7FA7"/>
    <w:rsid w:val="00FF663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Classic 1" w:uiPriority="0"/>
    <w:lsdException w:name="Table Colorful 1" w:uiPriority="0"/>
    <w:lsdException w:name="Table List 2" w:uiPriority="0"/>
    <w:lsdException w:name="Table List 3" w:uiPriority="0"/>
    <w:lsdException w:name="Table Web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913"/>
    <w:rPr>
      <w:lang w:val="en-GB"/>
    </w:rPr>
  </w:style>
  <w:style w:type="paragraph" w:styleId="Heading1">
    <w:name w:val="heading 1"/>
    <w:aliases w:val="- Emerald"/>
    <w:next w:val="BodycopyEmerald"/>
    <w:link w:val="Heading1Char"/>
    <w:uiPriority w:val="9"/>
    <w:qFormat/>
    <w:rsid w:val="00802C8C"/>
    <w:pPr>
      <w:keepNext/>
      <w:outlineLvl w:val="0"/>
    </w:pPr>
    <w:rPr>
      <w:rFonts w:ascii="Arial" w:eastAsia="Times New Roman" w:hAnsi="Arial"/>
      <w:color w:val="FFFFFF"/>
      <w:kern w:val="28"/>
      <w:sz w:val="50"/>
      <w:lang w:eastAsia="en-GB"/>
    </w:rPr>
  </w:style>
  <w:style w:type="paragraph" w:styleId="Heading2">
    <w:name w:val="heading 2"/>
    <w:basedOn w:val="Normal"/>
    <w:next w:val="Normal"/>
    <w:link w:val="Heading2Char"/>
    <w:qFormat/>
    <w:rsid w:val="00802C8C"/>
    <w:pPr>
      <w:keepNext/>
      <w:outlineLvl w:val="1"/>
    </w:pPr>
    <w:rPr>
      <w:rFonts w:ascii="Arial" w:eastAsia="Times New Roman" w:hAnsi="Arial"/>
      <w:color w:val="C0C0C0"/>
      <w:sz w:val="36"/>
      <w:szCs w:val="24"/>
      <w:lang w:eastAsia="en-GB"/>
    </w:rPr>
  </w:style>
  <w:style w:type="paragraph" w:styleId="Heading3">
    <w:name w:val="heading 3"/>
    <w:basedOn w:val="Normal"/>
    <w:next w:val="Normal"/>
    <w:qFormat/>
    <w:rsid w:val="00BF1913"/>
    <w:pPr>
      <w:keepNext/>
      <w:pBdr>
        <w:top w:val="single" w:sz="4" w:space="1" w:color="auto"/>
        <w:left w:val="single" w:sz="4" w:space="4" w:color="auto"/>
        <w:bottom w:val="single" w:sz="4" w:space="1" w:color="auto"/>
        <w:right w:val="single" w:sz="4" w:space="4" w:color="auto"/>
      </w:pBdr>
      <w:outlineLvl w:val="2"/>
    </w:pPr>
    <w:rPr>
      <w:b/>
      <w:bCs/>
      <w:sz w:val="22"/>
      <w:szCs w:val="24"/>
    </w:rPr>
  </w:style>
  <w:style w:type="paragraph" w:styleId="Heading4">
    <w:name w:val="heading 4"/>
    <w:basedOn w:val="Normal"/>
    <w:next w:val="Normal"/>
    <w:qFormat/>
    <w:rsid w:val="00BF191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BF1913"/>
    <w:pPr>
      <w:keepLines/>
      <w:spacing w:before="200" w:after="240" w:line="200" w:lineRule="exact"/>
    </w:pPr>
    <w:rPr>
      <w:sz w:val="16"/>
    </w:rPr>
  </w:style>
  <w:style w:type="paragraph" w:customStyle="1" w:styleId="Els-1storder-head">
    <w:name w:val="Els-1storder-head"/>
    <w:next w:val="Els-body-text"/>
    <w:rsid w:val="00BF1913"/>
    <w:pPr>
      <w:keepNext/>
      <w:numPr>
        <w:numId w:val="5"/>
      </w:numPr>
      <w:suppressAutoHyphens/>
      <w:spacing w:before="240" w:after="240" w:line="240" w:lineRule="exact"/>
    </w:pPr>
    <w:rPr>
      <w:b/>
    </w:rPr>
  </w:style>
  <w:style w:type="paragraph" w:customStyle="1" w:styleId="Els-2ndorder-head">
    <w:name w:val="Els-2ndorder-head"/>
    <w:next w:val="Els-body-text"/>
    <w:rsid w:val="00BF1913"/>
    <w:pPr>
      <w:keepNext/>
      <w:numPr>
        <w:ilvl w:val="1"/>
        <w:numId w:val="6"/>
      </w:numPr>
      <w:suppressAutoHyphens/>
      <w:spacing w:before="240" w:after="240" w:line="240" w:lineRule="exact"/>
    </w:pPr>
    <w:rPr>
      <w:i/>
    </w:rPr>
  </w:style>
  <w:style w:type="paragraph" w:customStyle="1" w:styleId="Els-3rdorder-head">
    <w:name w:val="Els-3rdorder-head"/>
    <w:next w:val="Els-body-text"/>
    <w:rsid w:val="00BF1913"/>
    <w:pPr>
      <w:keepNext/>
      <w:numPr>
        <w:ilvl w:val="2"/>
        <w:numId w:val="7"/>
      </w:numPr>
      <w:suppressAutoHyphens/>
      <w:spacing w:before="240" w:line="240" w:lineRule="exact"/>
    </w:pPr>
    <w:rPr>
      <w:i/>
    </w:rPr>
  </w:style>
  <w:style w:type="paragraph" w:customStyle="1" w:styleId="Els-4thorder-head">
    <w:name w:val="Els-4thorder-head"/>
    <w:next w:val="Els-body-text"/>
    <w:rsid w:val="00BF1913"/>
    <w:pPr>
      <w:keepNext/>
      <w:numPr>
        <w:ilvl w:val="3"/>
        <w:numId w:val="8"/>
      </w:numPr>
      <w:suppressAutoHyphens/>
      <w:spacing w:before="240" w:line="240" w:lineRule="exact"/>
    </w:pPr>
    <w:rPr>
      <w:i/>
    </w:rPr>
  </w:style>
  <w:style w:type="paragraph" w:customStyle="1" w:styleId="Els-Abstract-head">
    <w:name w:val="Els-Abstract-head"/>
    <w:next w:val="Normal"/>
    <w:rsid w:val="00BF1913"/>
    <w:pPr>
      <w:keepNext/>
      <w:pBdr>
        <w:top w:val="single" w:sz="4" w:space="10" w:color="auto"/>
      </w:pBdr>
      <w:suppressAutoHyphens/>
      <w:spacing w:after="220" w:line="220" w:lineRule="exact"/>
    </w:pPr>
    <w:rPr>
      <w:b/>
      <w:sz w:val="18"/>
    </w:rPr>
  </w:style>
  <w:style w:type="paragraph" w:customStyle="1" w:styleId="Els-Abstract-text">
    <w:name w:val="Els-Abstract-text"/>
    <w:next w:val="Normal"/>
    <w:rsid w:val="00BF1913"/>
    <w:pPr>
      <w:spacing w:line="220" w:lineRule="exact"/>
      <w:jc w:val="both"/>
    </w:pPr>
    <w:rPr>
      <w:sz w:val="18"/>
    </w:rPr>
  </w:style>
  <w:style w:type="paragraph" w:customStyle="1" w:styleId="Els-acknowledgement">
    <w:name w:val="Els-acknowledgement"/>
    <w:next w:val="Normal"/>
    <w:rsid w:val="00BF1913"/>
    <w:pPr>
      <w:keepNext/>
      <w:spacing w:before="480" w:after="240" w:line="220" w:lineRule="exact"/>
    </w:pPr>
    <w:rPr>
      <w:b/>
    </w:rPr>
  </w:style>
  <w:style w:type="paragraph" w:customStyle="1" w:styleId="Els-aditional-article-history">
    <w:name w:val="Els-aditional-article-history"/>
    <w:basedOn w:val="Normal"/>
    <w:rsid w:val="00BF1913"/>
    <w:pPr>
      <w:spacing w:after="400" w:line="200" w:lineRule="exact"/>
      <w:jc w:val="center"/>
    </w:pPr>
    <w:rPr>
      <w:b/>
      <w:noProof/>
      <w:sz w:val="16"/>
      <w:lang w:val="en-US"/>
    </w:rPr>
  </w:style>
  <w:style w:type="paragraph" w:customStyle="1" w:styleId="Els-Affiliation">
    <w:name w:val="Els-Affiliation"/>
    <w:next w:val="Els-Abstract-head"/>
    <w:rsid w:val="00BF1913"/>
    <w:pPr>
      <w:suppressAutoHyphens/>
      <w:spacing w:line="200" w:lineRule="exact"/>
      <w:jc w:val="center"/>
    </w:pPr>
    <w:rPr>
      <w:i/>
      <w:noProof/>
      <w:sz w:val="16"/>
    </w:rPr>
  </w:style>
  <w:style w:type="paragraph" w:customStyle="1" w:styleId="Els-appendixhead">
    <w:name w:val="Els-appendixhead"/>
    <w:next w:val="Normal"/>
    <w:rsid w:val="00BF1913"/>
    <w:pPr>
      <w:numPr>
        <w:numId w:val="1"/>
      </w:numPr>
      <w:spacing w:before="480" w:after="240" w:line="220" w:lineRule="exact"/>
    </w:pPr>
    <w:rPr>
      <w:b/>
    </w:rPr>
  </w:style>
  <w:style w:type="paragraph" w:customStyle="1" w:styleId="Els-appendixsubhead">
    <w:name w:val="Els-appendixsubhead"/>
    <w:next w:val="Normal"/>
    <w:rsid w:val="00BF1913"/>
    <w:pPr>
      <w:numPr>
        <w:ilvl w:val="1"/>
        <w:numId w:val="2"/>
      </w:numPr>
      <w:spacing w:before="240" w:after="240" w:line="220" w:lineRule="exact"/>
    </w:pPr>
    <w:rPr>
      <w:i/>
    </w:rPr>
  </w:style>
  <w:style w:type="paragraph" w:customStyle="1" w:styleId="Els-Author">
    <w:name w:val="Els-Author"/>
    <w:next w:val="Normal"/>
    <w:rsid w:val="00BF1913"/>
    <w:pPr>
      <w:keepNext/>
      <w:suppressAutoHyphens/>
      <w:spacing w:after="160" w:line="300" w:lineRule="exact"/>
      <w:jc w:val="center"/>
    </w:pPr>
    <w:rPr>
      <w:noProof/>
      <w:sz w:val="26"/>
    </w:rPr>
  </w:style>
  <w:style w:type="paragraph" w:customStyle="1" w:styleId="Els-body-text">
    <w:name w:val="Els-body-text"/>
    <w:rsid w:val="00BF1913"/>
    <w:pPr>
      <w:keepNext/>
      <w:spacing w:line="240" w:lineRule="exact"/>
      <w:ind w:firstLine="238"/>
      <w:jc w:val="both"/>
    </w:pPr>
  </w:style>
  <w:style w:type="paragraph" w:customStyle="1" w:styleId="Els-bulletlist">
    <w:name w:val="Els-bulletlist"/>
    <w:basedOn w:val="Els-body-text"/>
    <w:rsid w:val="00BF1913"/>
    <w:pPr>
      <w:numPr>
        <w:numId w:val="3"/>
      </w:numPr>
      <w:tabs>
        <w:tab w:val="left" w:pos="240"/>
      </w:tabs>
      <w:jc w:val="left"/>
    </w:pPr>
  </w:style>
  <w:style w:type="paragraph" w:customStyle="1" w:styleId="Els-caption">
    <w:name w:val="Els-caption"/>
    <w:rsid w:val="00BF1913"/>
    <w:pPr>
      <w:keepLines/>
      <w:spacing w:before="200" w:after="240" w:line="200" w:lineRule="exact"/>
    </w:pPr>
    <w:rPr>
      <w:sz w:val="16"/>
    </w:rPr>
  </w:style>
  <w:style w:type="paragraph" w:customStyle="1" w:styleId="Els-chem-equation">
    <w:name w:val="Els-chem-equation"/>
    <w:next w:val="Els-body-text"/>
    <w:rsid w:val="00BF1913"/>
    <w:pPr>
      <w:tabs>
        <w:tab w:val="right" w:pos="4320"/>
        <w:tab w:val="right" w:pos="9120"/>
      </w:tabs>
      <w:spacing w:before="120" w:after="120" w:line="220" w:lineRule="exact"/>
    </w:pPr>
    <w:rPr>
      <w:noProof/>
      <w:sz w:val="18"/>
    </w:rPr>
  </w:style>
  <w:style w:type="paragraph" w:customStyle="1" w:styleId="Els-collaboration">
    <w:name w:val="Els-collaboration"/>
    <w:basedOn w:val="Els-Author"/>
    <w:rsid w:val="00BF1913"/>
    <w:pPr>
      <w:jc w:val="right"/>
    </w:pPr>
  </w:style>
  <w:style w:type="paragraph" w:customStyle="1" w:styleId="Els-collaboration-affiliation">
    <w:name w:val="Els-collaboration-affiliation"/>
    <w:basedOn w:val="Els-collaboration"/>
    <w:rsid w:val="00BF1913"/>
  </w:style>
  <w:style w:type="paragraph" w:customStyle="1" w:styleId="Els-presented-by">
    <w:name w:val="Els-presented-by"/>
    <w:rsid w:val="00BF1913"/>
    <w:pPr>
      <w:spacing w:after="200"/>
      <w:jc w:val="center"/>
    </w:pPr>
    <w:rPr>
      <w:b/>
      <w:sz w:val="16"/>
    </w:rPr>
  </w:style>
  <w:style w:type="paragraph" w:customStyle="1" w:styleId="Els-dedicated-to">
    <w:name w:val="Els-dedicated-to"/>
    <w:basedOn w:val="Els-presented-by"/>
    <w:rsid w:val="00BF1913"/>
    <w:rPr>
      <w:b w:val="0"/>
    </w:rPr>
  </w:style>
  <w:style w:type="paragraph" w:customStyle="1" w:styleId="Els-equation">
    <w:name w:val="Els-equation"/>
    <w:next w:val="Els-body-text"/>
    <w:rsid w:val="00BF1913"/>
    <w:pPr>
      <w:tabs>
        <w:tab w:val="right" w:pos="4320"/>
        <w:tab w:val="right" w:pos="9120"/>
      </w:tabs>
      <w:spacing w:before="120" w:after="120" w:line="220" w:lineRule="exact"/>
      <w:ind w:left="480"/>
    </w:pPr>
    <w:rPr>
      <w:i/>
      <w:noProof/>
    </w:rPr>
  </w:style>
  <w:style w:type="paragraph" w:customStyle="1" w:styleId="Els-footnote">
    <w:name w:val="Els-footnote"/>
    <w:rsid w:val="00BF1913"/>
    <w:pPr>
      <w:keepLines/>
      <w:widowControl w:val="0"/>
      <w:spacing w:line="200" w:lineRule="exact"/>
      <w:ind w:firstLine="240"/>
      <w:jc w:val="both"/>
    </w:pPr>
    <w:rPr>
      <w:sz w:val="16"/>
    </w:rPr>
  </w:style>
  <w:style w:type="paragraph" w:customStyle="1" w:styleId="Els-history">
    <w:name w:val="Els-history"/>
    <w:next w:val="Normal"/>
    <w:rsid w:val="00BF1913"/>
    <w:pPr>
      <w:spacing w:before="120" w:after="400" w:line="200" w:lineRule="exact"/>
      <w:jc w:val="center"/>
    </w:pPr>
    <w:rPr>
      <w:noProof/>
      <w:sz w:val="16"/>
    </w:rPr>
  </w:style>
  <w:style w:type="paragraph" w:customStyle="1" w:styleId="Els-journal-logo">
    <w:name w:val="Els-journal-logo"/>
    <w:rsid w:val="00BF1913"/>
    <w:pPr>
      <w:pBdr>
        <w:top w:val="thinThickLargeGap" w:sz="12" w:space="0" w:color="auto"/>
        <w:bottom w:val="thickThinLargeGap" w:sz="12" w:space="0" w:color="auto"/>
      </w:pBdr>
    </w:pPr>
    <w:rPr>
      <w:rFonts w:ascii="Helvetica" w:hAnsi="Helvetica"/>
      <w:b/>
      <w:noProof/>
      <w:sz w:val="24"/>
    </w:rPr>
  </w:style>
  <w:style w:type="paragraph" w:customStyle="1" w:styleId="Els-keywords">
    <w:name w:val="Els-keywords"/>
    <w:next w:val="Normal"/>
    <w:rsid w:val="00BF1913"/>
    <w:pPr>
      <w:pBdr>
        <w:bottom w:val="single" w:sz="4" w:space="10" w:color="auto"/>
      </w:pBdr>
      <w:spacing w:after="200" w:line="200" w:lineRule="exact"/>
    </w:pPr>
    <w:rPr>
      <w:noProof/>
      <w:sz w:val="16"/>
    </w:rPr>
  </w:style>
  <w:style w:type="paragraph" w:customStyle="1" w:styleId="Els-numlist">
    <w:name w:val="Els-numlist"/>
    <w:basedOn w:val="Els-body-text"/>
    <w:rsid w:val="00BF1913"/>
    <w:pPr>
      <w:numPr>
        <w:numId w:val="4"/>
      </w:numPr>
      <w:tabs>
        <w:tab w:val="left" w:pos="240"/>
      </w:tabs>
      <w:ind w:left="480"/>
      <w:jc w:val="left"/>
    </w:pPr>
  </w:style>
  <w:style w:type="paragraph" w:customStyle="1" w:styleId="Els-reference">
    <w:name w:val="Els-reference"/>
    <w:rsid w:val="00BF1913"/>
    <w:pPr>
      <w:tabs>
        <w:tab w:val="left" w:pos="312"/>
      </w:tabs>
      <w:spacing w:line="200" w:lineRule="exact"/>
    </w:pPr>
  </w:style>
  <w:style w:type="paragraph" w:customStyle="1" w:styleId="Els-reference-head">
    <w:name w:val="Els-reference-head"/>
    <w:next w:val="Els-reference"/>
    <w:rsid w:val="00BF1913"/>
    <w:pPr>
      <w:keepNext/>
      <w:spacing w:before="480" w:after="200" w:line="220" w:lineRule="exact"/>
    </w:pPr>
    <w:rPr>
      <w:b/>
    </w:rPr>
  </w:style>
  <w:style w:type="paragraph" w:customStyle="1" w:styleId="Els-reprint-line">
    <w:name w:val="Els-reprint-line"/>
    <w:basedOn w:val="Normal"/>
    <w:rsid w:val="00BF1913"/>
    <w:pPr>
      <w:tabs>
        <w:tab w:val="left" w:pos="0"/>
        <w:tab w:val="center" w:pos="5443"/>
      </w:tabs>
      <w:jc w:val="center"/>
    </w:pPr>
    <w:rPr>
      <w:sz w:val="16"/>
    </w:rPr>
  </w:style>
  <w:style w:type="paragraph" w:customStyle="1" w:styleId="Els-table-text">
    <w:name w:val="Els-table-text"/>
    <w:rsid w:val="00BF1913"/>
    <w:pPr>
      <w:keepNext/>
      <w:spacing w:after="80" w:line="200" w:lineRule="exact"/>
    </w:pPr>
    <w:rPr>
      <w:sz w:val="16"/>
    </w:rPr>
  </w:style>
  <w:style w:type="paragraph" w:customStyle="1" w:styleId="Els-Title">
    <w:name w:val="Els-Title"/>
    <w:next w:val="Els-Author"/>
    <w:autoRedefine/>
    <w:rsid w:val="006632F1"/>
    <w:pPr>
      <w:suppressAutoHyphens/>
      <w:spacing w:after="240" w:line="400" w:lineRule="exact"/>
      <w:jc w:val="center"/>
    </w:pPr>
    <w:rPr>
      <w:rFonts w:asciiTheme="majorBidi" w:hAnsiTheme="majorBidi" w:cstheme="majorBidi"/>
      <w:sz w:val="16"/>
      <w:szCs w:val="16"/>
      <w:lang w:val="id-ID"/>
    </w:rPr>
  </w:style>
  <w:style w:type="character" w:styleId="EndnoteReference">
    <w:name w:val="endnote reference"/>
    <w:rsid w:val="00BF1913"/>
    <w:rPr>
      <w:vertAlign w:val="superscript"/>
    </w:rPr>
  </w:style>
  <w:style w:type="paragraph" w:styleId="Header">
    <w:name w:val="header"/>
    <w:link w:val="HeaderChar"/>
    <w:uiPriority w:val="99"/>
    <w:rsid w:val="00BF1913"/>
    <w:pPr>
      <w:tabs>
        <w:tab w:val="center" w:pos="4706"/>
        <w:tab w:val="right" w:pos="9356"/>
      </w:tabs>
      <w:spacing w:after="240" w:line="200" w:lineRule="atLeast"/>
    </w:pPr>
    <w:rPr>
      <w:i/>
      <w:noProof/>
      <w:sz w:val="16"/>
    </w:rPr>
  </w:style>
  <w:style w:type="paragraph" w:styleId="Footer">
    <w:name w:val="footer"/>
    <w:basedOn w:val="Header"/>
    <w:link w:val="FooterChar"/>
    <w:rsid w:val="00BF1913"/>
    <w:pPr>
      <w:tabs>
        <w:tab w:val="right" w:pos="10080"/>
      </w:tabs>
    </w:pPr>
    <w:rPr>
      <w:i w:val="0"/>
    </w:rPr>
  </w:style>
  <w:style w:type="character" w:styleId="FootnoteReference">
    <w:name w:val="footnote reference"/>
    <w:uiPriority w:val="99"/>
    <w:rsid w:val="00BF1913"/>
    <w:rPr>
      <w:vertAlign w:val="superscript"/>
    </w:rPr>
  </w:style>
  <w:style w:type="paragraph" w:styleId="FootnoteText">
    <w:name w:val="footnote text"/>
    <w:basedOn w:val="Normal"/>
    <w:link w:val="FootnoteTextChar1"/>
    <w:uiPriority w:val="99"/>
    <w:rsid w:val="00BF1913"/>
    <w:rPr>
      <w:rFonts w:ascii="Univers" w:hAnsi="Univers"/>
    </w:rPr>
  </w:style>
  <w:style w:type="character" w:styleId="Hyperlink">
    <w:name w:val="Hyperlink"/>
    <w:uiPriority w:val="99"/>
    <w:rsid w:val="00BF1913"/>
    <w:rPr>
      <w:color w:val="auto"/>
      <w:sz w:val="16"/>
      <w:u w:val="none"/>
    </w:rPr>
  </w:style>
  <w:style w:type="character" w:customStyle="1" w:styleId="MTEquationSection">
    <w:name w:val="MTEquationSection"/>
    <w:rsid w:val="00BF1913"/>
    <w:rPr>
      <w:vanish w:val="0"/>
      <w:color w:val="FF0000"/>
    </w:rPr>
  </w:style>
  <w:style w:type="character" w:styleId="PageNumber">
    <w:name w:val="page number"/>
    <w:rsid w:val="00BF1913"/>
    <w:rPr>
      <w:sz w:val="16"/>
    </w:rPr>
  </w:style>
  <w:style w:type="paragraph" w:styleId="PlainText">
    <w:name w:val="Plain Text"/>
    <w:basedOn w:val="Normal"/>
    <w:semiHidden/>
    <w:rsid w:val="00BF1913"/>
    <w:rPr>
      <w:rFonts w:ascii="Courier New" w:hAnsi="Courier New" w:cs="Courier New"/>
      <w:lang w:val="en-US"/>
    </w:rPr>
  </w:style>
  <w:style w:type="paragraph" w:customStyle="1" w:styleId="Els-5thorder-head">
    <w:name w:val="Els-5thorder-head"/>
    <w:next w:val="Els-body-text"/>
    <w:rsid w:val="00BF1913"/>
    <w:pPr>
      <w:keepNext/>
      <w:suppressAutoHyphens/>
      <w:spacing w:line="240" w:lineRule="exact"/>
    </w:pPr>
    <w:rPr>
      <w:i/>
    </w:rPr>
  </w:style>
  <w:style w:type="paragraph" w:customStyle="1" w:styleId="Els-Abstract-Copyright">
    <w:name w:val="Els-Abstract-Copyright"/>
    <w:basedOn w:val="Els-Abstract-text"/>
    <w:rsid w:val="00BF1913"/>
    <w:pPr>
      <w:spacing w:after="220"/>
    </w:pPr>
  </w:style>
  <w:style w:type="paragraph" w:customStyle="1" w:styleId="DocHead">
    <w:name w:val="DocHead"/>
    <w:rsid w:val="00BF1913"/>
    <w:pPr>
      <w:spacing w:after="240"/>
      <w:jc w:val="center"/>
    </w:pPr>
    <w:rPr>
      <w:sz w:val="24"/>
    </w:rPr>
  </w:style>
  <w:style w:type="character" w:styleId="FollowedHyperlink">
    <w:name w:val="FollowedHyperlink"/>
    <w:semiHidden/>
    <w:rsid w:val="00BF1913"/>
    <w:rPr>
      <w:color w:val="800080"/>
      <w:u w:val="single"/>
    </w:rPr>
  </w:style>
  <w:style w:type="character" w:customStyle="1" w:styleId="Els-1storder-headChar">
    <w:name w:val="Els-1storder-head Char"/>
    <w:rsid w:val="00BF1913"/>
    <w:rPr>
      <w:b/>
      <w:lang w:val="en-US" w:eastAsia="en-US" w:bidi="ar-SA"/>
    </w:rPr>
  </w:style>
  <w:style w:type="paragraph" w:styleId="BodyTextIndent">
    <w:name w:val="Body Text Indent"/>
    <w:basedOn w:val="Normal"/>
    <w:semiHidden/>
    <w:rsid w:val="00BF1913"/>
    <w:pPr>
      <w:ind w:firstLine="240"/>
    </w:pPr>
    <w:rPr>
      <w:lang w:val="en-US"/>
    </w:rPr>
  </w:style>
  <w:style w:type="paragraph" w:styleId="BalloonText">
    <w:name w:val="Balloon Text"/>
    <w:basedOn w:val="Normal"/>
    <w:uiPriority w:val="99"/>
    <w:rsid w:val="00BF1913"/>
    <w:rPr>
      <w:rFonts w:ascii="Tahoma" w:hAnsi="Tahoma" w:cs="Tahoma"/>
      <w:sz w:val="16"/>
      <w:szCs w:val="16"/>
    </w:rPr>
  </w:style>
  <w:style w:type="character" w:customStyle="1" w:styleId="BalloonTextChar">
    <w:name w:val="Balloon Text Char"/>
    <w:uiPriority w:val="99"/>
    <w:rsid w:val="00BF1913"/>
    <w:rPr>
      <w:rFonts w:ascii="Tahoma" w:hAnsi="Tahoma" w:cs="Tahoma"/>
      <w:sz w:val="16"/>
      <w:szCs w:val="16"/>
      <w:lang w:eastAsia="en-US"/>
    </w:rPr>
  </w:style>
  <w:style w:type="character" w:styleId="CommentReference">
    <w:name w:val="annotation reference"/>
    <w:uiPriority w:val="99"/>
    <w:rsid w:val="00BF1913"/>
    <w:rPr>
      <w:sz w:val="16"/>
      <w:szCs w:val="16"/>
    </w:rPr>
  </w:style>
  <w:style w:type="paragraph" w:styleId="CommentText">
    <w:name w:val="annotation text"/>
    <w:basedOn w:val="Normal"/>
    <w:uiPriority w:val="99"/>
    <w:rsid w:val="00BF1913"/>
  </w:style>
  <w:style w:type="character" w:customStyle="1" w:styleId="CommentTextChar">
    <w:name w:val="Comment Text Char"/>
    <w:uiPriority w:val="99"/>
    <w:rsid w:val="00BF1913"/>
    <w:rPr>
      <w:lang w:val="en-GB"/>
    </w:rPr>
  </w:style>
  <w:style w:type="paragraph" w:styleId="CommentSubject">
    <w:name w:val="annotation subject"/>
    <w:basedOn w:val="CommentText"/>
    <w:next w:val="CommentText"/>
    <w:rsid w:val="00BF1913"/>
    <w:rPr>
      <w:b/>
      <w:bCs/>
    </w:rPr>
  </w:style>
  <w:style w:type="character" w:customStyle="1" w:styleId="CommentSubjectChar">
    <w:name w:val="Comment Subject Char"/>
    <w:rsid w:val="00BF1913"/>
    <w:rPr>
      <w:b/>
      <w:bCs/>
      <w:lang w:val="en-GB"/>
    </w:rPr>
  </w:style>
  <w:style w:type="paragraph" w:styleId="ListParagraph">
    <w:name w:val="List Paragraph"/>
    <w:basedOn w:val="Normal"/>
    <w:uiPriority w:val="34"/>
    <w:qFormat/>
    <w:rsid w:val="004014D4"/>
    <w:pPr>
      <w:spacing w:after="200" w:line="276" w:lineRule="auto"/>
      <w:ind w:left="720"/>
      <w:contextualSpacing/>
    </w:pPr>
    <w:rPr>
      <w:rFonts w:ascii="Calibri" w:eastAsia="Calibri" w:hAnsi="Calibri" w:cs="Arial"/>
      <w:sz w:val="22"/>
      <w:szCs w:val="22"/>
      <w:lang w:val="en-US"/>
    </w:rPr>
  </w:style>
  <w:style w:type="character" w:customStyle="1" w:styleId="Heading1Char">
    <w:name w:val="Heading 1 Char"/>
    <w:aliases w:val="- Emerald Char"/>
    <w:basedOn w:val="DefaultParagraphFont"/>
    <w:link w:val="Heading1"/>
    <w:uiPriority w:val="9"/>
    <w:rsid w:val="00802C8C"/>
    <w:rPr>
      <w:rFonts w:ascii="Arial" w:eastAsia="Times New Roman" w:hAnsi="Arial"/>
      <w:color w:val="FFFFFF"/>
      <w:kern w:val="28"/>
      <w:sz w:val="50"/>
      <w:lang w:eastAsia="en-GB"/>
    </w:rPr>
  </w:style>
  <w:style w:type="character" w:customStyle="1" w:styleId="Heading2Char">
    <w:name w:val="Heading 2 Char"/>
    <w:basedOn w:val="DefaultParagraphFont"/>
    <w:link w:val="Heading2"/>
    <w:rsid w:val="00802C8C"/>
    <w:rPr>
      <w:rFonts w:ascii="Arial" w:eastAsia="Times New Roman" w:hAnsi="Arial"/>
      <w:color w:val="C0C0C0"/>
      <w:sz w:val="36"/>
      <w:szCs w:val="24"/>
      <w:lang w:val="en-GB" w:eastAsia="en-GB"/>
    </w:rPr>
  </w:style>
  <w:style w:type="paragraph" w:customStyle="1" w:styleId="BodycopyEmerald">
    <w:name w:val="Body copy – Emerald"/>
    <w:rsid w:val="00802C8C"/>
    <w:pPr>
      <w:keepLines/>
      <w:spacing w:before="100"/>
    </w:pPr>
    <w:rPr>
      <w:rFonts w:ascii="Arial" w:eastAsia="Times New Roman" w:hAnsi="Arial"/>
      <w:color w:val="000000"/>
      <w:sz w:val="18"/>
      <w:lang w:eastAsia="en-GB"/>
    </w:rPr>
  </w:style>
  <w:style w:type="paragraph" w:customStyle="1" w:styleId="numberedpointEmerald">
    <w:name w:val="numbered point – Emerald"/>
    <w:rsid w:val="00802C8C"/>
    <w:pPr>
      <w:numPr>
        <w:numId w:val="10"/>
      </w:numPr>
      <w:tabs>
        <w:tab w:val="num" w:pos="227"/>
      </w:tabs>
      <w:spacing w:before="100"/>
      <w:ind w:left="227" w:hanging="227"/>
    </w:pPr>
    <w:rPr>
      <w:rFonts w:ascii="Arial" w:eastAsia="Times New Roman" w:hAnsi="Arial"/>
      <w:color w:val="000000"/>
      <w:sz w:val="18"/>
      <w:lang w:val="en-GB" w:eastAsia="en-GB"/>
    </w:rPr>
  </w:style>
  <w:style w:type="paragraph" w:customStyle="1" w:styleId="BooktitleheadingEmerald">
    <w:name w:val="Book title heading – Emerald"/>
    <w:next w:val="BodycopyEmerald"/>
    <w:semiHidden/>
    <w:rsid w:val="00802C8C"/>
    <w:pPr>
      <w:keepNext/>
      <w:spacing w:before="60"/>
    </w:pPr>
    <w:rPr>
      <w:rFonts w:ascii="Arial" w:eastAsia="Times New Roman" w:hAnsi="Arial"/>
      <w:color w:val="000000"/>
      <w:sz w:val="25"/>
      <w:lang w:val="en-GB" w:eastAsia="en-GB"/>
    </w:rPr>
  </w:style>
  <w:style w:type="paragraph" w:customStyle="1" w:styleId="BulletpointEmerald">
    <w:name w:val="Bullet point – Emerald"/>
    <w:basedOn w:val="BodycopyEmerald"/>
    <w:rsid w:val="00802C8C"/>
    <w:pPr>
      <w:numPr>
        <w:numId w:val="9"/>
      </w:numPr>
      <w:tabs>
        <w:tab w:val="num" w:pos="227"/>
      </w:tabs>
      <w:ind w:left="227" w:hanging="227"/>
    </w:pPr>
    <w:rPr>
      <w:lang w:val="en-GB"/>
    </w:rPr>
  </w:style>
  <w:style w:type="character" w:customStyle="1" w:styleId="BodycopyboldEmerald">
    <w:name w:val="Body copy bold – Emerald"/>
    <w:rsid w:val="00802C8C"/>
    <w:rPr>
      <w:rFonts w:ascii="Arial" w:hAnsi="Arial"/>
      <w:b/>
      <w:sz w:val="18"/>
    </w:rPr>
  </w:style>
  <w:style w:type="paragraph" w:customStyle="1" w:styleId="subheadingEmerald">
    <w:name w:val="subheading – Emerald"/>
    <w:rsid w:val="00802C8C"/>
    <w:pPr>
      <w:spacing w:before="240"/>
    </w:pPr>
    <w:rPr>
      <w:rFonts w:ascii="Arial" w:eastAsia="Times New Roman" w:hAnsi="Arial"/>
      <w:b/>
      <w:noProof/>
      <w:color w:val="009A49"/>
      <w:lang w:val="en-GB" w:eastAsia="en-GB"/>
    </w:rPr>
  </w:style>
  <w:style w:type="character" w:customStyle="1" w:styleId="URLe-mailEmerald">
    <w:name w:val="URL/e-mail – Emerald"/>
    <w:rsid w:val="00802C8C"/>
    <w:rPr>
      <w:rFonts w:ascii="Arial" w:hAnsi="Arial"/>
      <w:b/>
      <w:sz w:val="18"/>
    </w:rPr>
  </w:style>
  <w:style w:type="paragraph" w:customStyle="1" w:styleId="HeaderfootercontinuationEmerald">
    <w:name w:val="Header/footer continuation – Emerald"/>
    <w:rsid w:val="00802C8C"/>
    <w:rPr>
      <w:rFonts w:ascii="Arial" w:eastAsia="Times New Roman" w:hAnsi="Arial"/>
      <w:b/>
      <w:color w:val="FFFFFF"/>
      <w:sz w:val="18"/>
      <w:lang w:eastAsia="en-GB"/>
    </w:rPr>
  </w:style>
  <w:style w:type="paragraph" w:customStyle="1" w:styleId="mainheadingEmerald">
    <w:name w:val="main heading – Emerald"/>
    <w:rsid w:val="00802C8C"/>
    <w:rPr>
      <w:rFonts w:ascii="Arial" w:eastAsia="Times New Roman" w:hAnsi="Arial"/>
      <w:noProof/>
      <w:color w:val="FFFFFF"/>
      <w:sz w:val="44"/>
      <w:lang w:val="en-GB" w:eastAsia="en-GB"/>
    </w:rPr>
  </w:style>
  <w:style w:type="table" w:styleId="TableGrid">
    <w:name w:val="Table Grid"/>
    <w:basedOn w:val="TableNormal"/>
    <w:rsid w:val="00802C8C"/>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lassic1">
    <w:name w:val="Table Classic 1"/>
    <w:basedOn w:val="TableNormal"/>
    <w:rsid w:val="00802C8C"/>
    <w:rPr>
      <w:rFonts w:eastAsia="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Accent11">
    <w:name w:val="Light Shading - Accent 11"/>
    <w:basedOn w:val="TableNormal"/>
    <w:uiPriority w:val="60"/>
    <w:rsid w:val="00802C8C"/>
    <w:rPr>
      <w:rFonts w:eastAsia="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Web3">
    <w:name w:val="Table Web 3"/>
    <w:basedOn w:val="TableNormal"/>
    <w:rsid w:val="00802C8C"/>
    <w:rPr>
      <w:rFonts w:eastAsia="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Simple1">
    <w:name w:val="Table Simple 1"/>
    <w:basedOn w:val="TableNormal"/>
    <w:rsid w:val="00802C8C"/>
    <w:rPr>
      <w:rFonts w:eastAsia="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1">
    <w:name w:val="Light Shading1"/>
    <w:basedOn w:val="TableNormal"/>
    <w:uiPriority w:val="60"/>
    <w:rsid w:val="00802C8C"/>
    <w:rPr>
      <w:rFonts w:ascii="Calibri" w:eastAsia="Calibri" w:hAnsi="Calibri" w:cs="Arial"/>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Colorful1">
    <w:name w:val="Table Colorful 1"/>
    <w:basedOn w:val="TableNormal"/>
    <w:rsid w:val="00802C8C"/>
    <w:rPr>
      <w:rFonts w:eastAsia="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List2">
    <w:name w:val="Table List 2"/>
    <w:basedOn w:val="TableNormal"/>
    <w:rsid w:val="00802C8C"/>
    <w:rPr>
      <w:rFonts w:eastAsia="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1">
    <w:name w:val="Light Shading11"/>
    <w:basedOn w:val="TableNormal"/>
    <w:next w:val="LightShading1"/>
    <w:uiPriority w:val="60"/>
    <w:rsid w:val="00802C8C"/>
    <w:rPr>
      <w:rFonts w:ascii="Calibri" w:eastAsia="Calibri" w:hAnsi="Calibri" w:cs="Arial"/>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next w:val="LightShading1"/>
    <w:uiPriority w:val="60"/>
    <w:rsid w:val="00802C8C"/>
    <w:rPr>
      <w:rFonts w:ascii="Calibri" w:eastAsia="Calibri" w:hAnsi="Calibri" w:cs="Arial"/>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odyTextIndent0">
    <w:name w:val="Body Text (Indent)"/>
    <w:basedOn w:val="Normal"/>
    <w:next w:val="Normal"/>
    <w:autoRedefine/>
    <w:qFormat/>
    <w:rsid w:val="00802C8C"/>
    <w:pPr>
      <w:spacing w:line="480" w:lineRule="auto"/>
      <w:contextualSpacing/>
      <w:jc w:val="both"/>
    </w:pPr>
    <w:rPr>
      <w:rFonts w:eastAsia="Calibri" w:cs="Arial"/>
      <w:sz w:val="24"/>
      <w:szCs w:val="22"/>
      <w:lang w:val="en-US"/>
    </w:rPr>
  </w:style>
  <w:style w:type="table" w:styleId="TableList3">
    <w:name w:val="Table List 3"/>
    <w:basedOn w:val="TableNormal"/>
    <w:rsid w:val="00802C8C"/>
    <w:rPr>
      <w:rFonts w:eastAsia="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Bibliography">
    <w:name w:val="Bibliography"/>
    <w:basedOn w:val="Normal"/>
    <w:next w:val="Normal"/>
    <w:uiPriority w:val="37"/>
    <w:unhideWhenUsed/>
    <w:rsid w:val="00802C8C"/>
    <w:rPr>
      <w:rFonts w:eastAsia="Times New Roman"/>
      <w:sz w:val="24"/>
      <w:szCs w:val="24"/>
      <w:lang w:eastAsia="en-GB"/>
    </w:rPr>
  </w:style>
  <w:style w:type="paragraph" w:customStyle="1" w:styleId="FootnoteText1">
    <w:name w:val="Footnote Text1"/>
    <w:basedOn w:val="Normal"/>
    <w:next w:val="FootnoteText"/>
    <w:link w:val="FootnoteTextChar"/>
    <w:uiPriority w:val="99"/>
    <w:semiHidden/>
    <w:unhideWhenUsed/>
    <w:rsid w:val="00802C8C"/>
    <w:rPr>
      <w:rFonts w:eastAsia="Times New Roman"/>
      <w:lang w:eastAsia="en-GB"/>
    </w:rPr>
  </w:style>
  <w:style w:type="character" w:customStyle="1" w:styleId="FootnoteTextChar">
    <w:name w:val="Footnote Text Char"/>
    <w:link w:val="FootnoteText1"/>
    <w:uiPriority w:val="99"/>
    <w:rsid w:val="00802C8C"/>
    <w:rPr>
      <w:rFonts w:eastAsia="Times New Roman"/>
      <w:lang w:val="en-GB" w:eastAsia="en-GB"/>
    </w:rPr>
  </w:style>
  <w:style w:type="character" w:customStyle="1" w:styleId="FootnoteTextChar1">
    <w:name w:val="Footnote Text Char1"/>
    <w:link w:val="FootnoteText"/>
    <w:rsid w:val="00802C8C"/>
    <w:rPr>
      <w:rFonts w:ascii="Univers" w:hAnsi="Univers"/>
      <w:lang w:val="en-GB"/>
    </w:rPr>
  </w:style>
  <w:style w:type="paragraph" w:styleId="EndnoteText">
    <w:name w:val="endnote text"/>
    <w:basedOn w:val="Normal"/>
    <w:link w:val="EndnoteTextChar"/>
    <w:rsid w:val="00802C8C"/>
    <w:rPr>
      <w:rFonts w:eastAsia="Times New Roman"/>
      <w:lang w:eastAsia="en-GB"/>
    </w:rPr>
  </w:style>
  <w:style w:type="character" w:customStyle="1" w:styleId="EndnoteTextChar">
    <w:name w:val="Endnote Text Char"/>
    <w:basedOn w:val="DefaultParagraphFont"/>
    <w:link w:val="EndnoteText"/>
    <w:rsid w:val="00802C8C"/>
    <w:rPr>
      <w:rFonts w:eastAsia="Times New Roman"/>
      <w:lang w:val="en-GB" w:eastAsia="en-GB"/>
    </w:rPr>
  </w:style>
  <w:style w:type="character" w:customStyle="1" w:styleId="FooterChar">
    <w:name w:val="Footer Char"/>
    <w:basedOn w:val="DefaultParagraphFont"/>
    <w:link w:val="Footer"/>
    <w:uiPriority w:val="99"/>
    <w:rsid w:val="00802C8C"/>
    <w:rPr>
      <w:noProof/>
      <w:sz w:val="16"/>
    </w:rPr>
  </w:style>
  <w:style w:type="paragraph" w:customStyle="1" w:styleId="Default">
    <w:name w:val="Default"/>
    <w:rsid w:val="0055322F"/>
    <w:pPr>
      <w:autoSpaceDE w:val="0"/>
      <w:autoSpaceDN w:val="0"/>
      <w:adjustRightInd w:val="0"/>
    </w:pPr>
    <w:rPr>
      <w:rFonts w:eastAsia="Calibri"/>
      <w:color w:val="000000"/>
      <w:sz w:val="24"/>
      <w:szCs w:val="24"/>
    </w:rPr>
  </w:style>
  <w:style w:type="character" w:customStyle="1" w:styleId="apple-converted-space">
    <w:name w:val="apple-converted-space"/>
    <w:basedOn w:val="DefaultParagraphFont"/>
    <w:rsid w:val="0055322F"/>
  </w:style>
  <w:style w:type="character" w:customStyle="1" w:styleId="apple-style-span">
    <w:name w:val="apple-style-span"/>
    <w:basedOn w:val="DefaultParagraphFont"/>
    <w:rsid w:val="0055322F"/>
  </w:style>
  <w:style w:type="character" w:customStyle="1" w:styleId="HeaderChar">
    <w:name w:val="Header Char"/>
    <w:link w:val="Header"/>
    <w:uiPriority w:val="99"/>
    <w:rsid w:val="0055322F"/>
    <w:rPr>
      <w:i/>
      <w:noProof/>
      <w:sz w:val="16"/>
    </w:rPr>
  </w:style>
  <w:style w:type="paragraph" w:styleId="NormalWeb">
    <w:name w:val="Normal (Web)"/>
    <w:basedOn w:val="Normal"/>
    <w:uiPriority w:val="99"/>
    <w:unhideWhenUsed/>
    <w:rsid w:val="0055322F"/>
    <w:pPr>
      <w:spacing w:before="100" w:beforeAutospacing="1" w:after="100" w:afterAutospacing="1"/>
    </w:pPr>
    <w:rPr>
      <w:rFonts w:eastAsia="Times New Roman"/>
      <w:sz w:val="24"/>
      <w:szCs w:val="24"/>
      <w:lang w:val="en-MY" w:eastAsia="en-MY"/>
    </w:rPr>
  </w:style>
  <w:style w:type="character" w:styleId="HTMLCite">
    <w:name w:val="HTML Cite"/>
    <w:uiPriority w:val="99"/>
    <w:semiHidden/>
    <w:unhideWhenUsed/>
    <w:rsid w:val="0055322F"/>
    <w:rPr>
      <w:i/>
      <w:iCs/>
    </w:rPr>
  </w:style>
  <w:style w:type="paragraph" w:customStyle="1" w:styleId="txtmain01">
    <w:name w:val="txtmain01"/>
    <w:basedOn w:val="Normal"/>
    <w:rsid w:val="0055322F"/>
    <w:pPr>
      <w:spacing w:before="100" w:beforeAutospacing="1" w:after="100" w:afterAutospacing="1"/>
    </w:pPr>
    <w:rPr>
      <w:rFonts w:eastAsia="Times New Roman"/>
      <w:sz w:val="24"/>
      <w:szCs w:val="24"/>
      <w:lang w:val="en-US"/>
    </w:rPr>
  </w:style>
  <w:style w:type="character" w:customStyle="1" w:styleId="text9">
    <w:name w:val="text9"/>
    <w:rsid w:val="0055322F"/>
  </w:style>
  <w:style w:type="character" w:styleId="Strong">
    <w:name w:val="Strong"/>
    <w:uiPriority w:val="22"/>
    <w:qFormat/>
    <w:rsid w:val="0055322F"/>
    <w:rPr>
      <w:b/>
      <w:bCs/>
    </w:rPr>
  </w:style>
  <w:style w:type="character" w:styleId="Emphasis">
    <w:name w:val="Emphasis"/>
    <w:uiPriority w:val="20"/>
    <w:qFormat/>
    <w:rsid w:val="0055322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Classic 1" w:uiPriority="0"/>
    <w:lsdException w:name="Table Colorful 1" w:uiPriority="0"/>
    <w:lsdException w:name="Table List 2" w:uiPriority="0"/>
    <w:lsdException w:name="Table List 3" w:uiPriority="0"/>
    <w:lsdException w:name="Table Web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913"/>
    <w:rPr>
      <w:lang w:val="en-GB"/>
    </w:rPr>
  </w:style>
  <w:style w:type="paragraph" w:styleId="Heading1">
    <w:name w:val="heading 1"/>
    <w:aliases w:val="- Emerald"/>
    <w:next w:val="BodycopyEmerald"/>
    <w:link w:val="Heading1Char"/>
    <w:uiPriority w:val="9"/>
    <w:qFormat/>
    <w:rsid w:val="00802C8C"/>
    <w:pPr>
      <w:keepNext/>
      <w:outlineLvl w:val="0"/>
    </w:pPr>
    <w:rPr>
      <w:rFonts w:ascii="Arial" w:eastAsia="Times New Roman" w:hAnsi="Arial"/>
      <w:color w:val="FFFFFF"/>
      <w:kern w:val="28"/>
      <w:sz w:val="50"/>
      <w:lang w:eastAsia="en-GB"/>
    </w:rPr>
  </w:style>
  <w:style w:type="paragraph" w:styleId="Heading2">
    <w:name w:val="heading 2"/>
    <w:basedOn w:val="Normal"/>
    <w:next w:val="Normal"/>
    <w:link w:val="Heading2Char"/>
    <w:qFormat/>
    <w:rsid w:val="00802C8C"/>
    <w:pPr>
      <w:keepNext/>
      <w:outlineLvl w:val="1"/>
    </w:pPr>
    <w:rPr>
      <w:rFonts w:ascii="Arial" w:eastAsia="Times New Roman" w:hAnsi="Arial"/>
      <w:color w:val="C0C0C0"/>
      <w:sz w:val="36"/>
      <w:szCs w:val="24"/>
      <w:lang w:eastAsia="en-GB"/>
    </w:rPr>
  </w:style>
  <w:style w:type="paragraph" w:styleId="Heading3">
    <w:name w:val="heading 3"/>
    <w:basedOn w:val="Normal"/>
    <w:next w:val="Normal"/>
    <w:qFormat/>
    <w:rsid w:val="00BF1913"/>
    <w:pPr>
      <w:keepNext/>
      <w:pBdr>
        <w:top w:val="single" w:sz="4" w:space="1" w:color="auto"/>
        <w:left w:val="single" w:sz="4" w:space="4" w:color="auto"/>
        <w:bottom w:val="single" w:sz="4" w:space="1" w:color="auto"/>
        <w:right w:val="single" w:sz="4" w:space="4" w:color="auto"/>
      </w:pBdr>
      <w:outlineLvl w:val="2"/>
    </w:pPr>
    <w:rPr>
      <w:b/>
      <w:bCs/>
      <w:sz w:val="22"/>
      <w:szCs w:val="24"/>
    </w:rPr>
  </w:style>
  <w:style w:type="paragraph" w:styleId="Heading4">
    <w:name w:val="heading 4"/>
    <w:basedOn w:val="Normal"/>
    <w:next w:val="Normal"/>
    <w:qFormat/>
    <w:rsid w:val="00BF191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BF1913"/>
    <w:pPr>
      <w:keepLines/>
      <w:spacing w:before="200" w:after="240" w:line="200" w:lineRule="exact"/>
    </w:pPr>
    <w:rPr>
      <w:sz w:val="16"/>
    </w:rPr>
  </w:style>
  <w:style w:type="paragraph" w:customStyle="1" w:styleId="Els-1storder-head">
    <w:name w:val="Els-1storder-head"/>
    <w:next w:val="Els-body-text"/>
    <w:rsid w:val="00BF1913"/>
    <w:pPr>
      <w:keepNext/>
      <w:numPr>
        <w:numId w:val="5"/>
      </w:numPr>
      <w:suppressAutoHyphens/>
      <w:spacing w:before="240" w:after="240" w:line="240" w:lineRule="exact"/>
    </w:pPr>
    <w:rPr>
      <w:b/>
    </w:rPr>
  </w:style>
  <w:style w:type="paragraph" w:customStyle="1" w:styleId="Els-2ndorder-head">
    <w:name w:val="Els-2ndorder-head"/>
    <w:next w:val="Els-body-text"/>
    <w:rsid w:val="00BF1913"/>
    <w:pPr>
      <w:keepNext/>
      <w:numPr>
        <w:ilvl w:val="1"/>
        <w:numId w:val="6"/>
      </w:numPr>
      <w:suppressAutoHyphens/>
      <w:spacing w:before="240" w:after="240" w:line="240" w:lineRule="exact"/>
    </w:pPr>
    <w:rPr>
      <w:i/>
    </w:rPr>
  </w:style>
  <w:style w:type="paragraph" w:customStyle="1" w:styleId="Els-3rdorder-head">
    <w:name w:val="Els-3rdorder-head"/>
    <w:next w:val="Els-body-text"/>
    <w:rsid w:val="00BF1913"/>
    <w:pPr>
      <w:keepNext/>
      <w:numPr>
        <w:ilvl w:val="2"/>
        <w:numId w:val="7"/>
      </w:numPr>
      <w:suppressAutoHyphens/>
      <w:spacing w:before="240" w:line="240" w:lineRule="exact"/>
    </w:pPr>
    <w:rPr>
      <w:i/>
    </w:rPr>
  </w:style>
  <w:style w:type="paragraph" w:customStyle="1" w:styleId="Els-4thorder-head">
    <w:name w:val="Els-4thorder-head"/>
    <w:next w:val="Els-body-text"/>
    <w:rsid w:val="00BF1913"/>
    <w:pPr>
      <w:keepNext/>
      <w:numPr>
        <w:ilvl w:val="3"/>
        <w:numId w:val="8"/>
      </w:numPr>
      <w:suppressAutoHyphens/>
      <w:spacing w:before="240" w:line="240" w:lineRule="exact"/>
    </w:pPr>
    <w:rPr>
      <w:i/>
    </w:rPr>
  </w:style>
  <w:style w:type="paragraph" w:customStyle="1" w:styleId="Els-Abstract-head">
    <w:name w:val="Els-Abstract-head"/>
    <w:next w:val="Normal"/>
    <w:rsid w:val="00BF1913"/>
    <w:pPr>
      <w:keepNext/>
      <w:pBdr>
        <w:top w:val="single" w:sz="4" w:space="10" w:color="auto"/>
      </w:pBdr>
      <w:suppressAutoHyphens/>
      <w:spacing w:after="220" w:line="220" w:lineRule="exact"/>
    </w:pPr>
    <w:rPr>
      <w:b/>
      <w:sz w:val="18"/>
    </w:rPr>
  </w:style>
  <w:style w:type="paragraph" w:customStyle="1" w:styleId="Els-Abstract-text">
    <w:name w:val="Els-Abstract-text"/>
    <w:next w:val="Normal"/>
    <w:rsid w:val="00BF1913"/>
    <w:pPr>
      <w:spacing w:line="220" w:lineRule="exact"/>
      <w:jc w:val="both"/>
    </w:pPr>
    <w:rPr>
      <w:sz w:val="18"/>
    </w:rPr>
  </w:style>
  <w:style w:type="paragraph" w:customStyle="1" w:styleId="Els-acknowledgement">
    <w:name w:val="Els-acknowledgement"/>
    <w:next w:val="Normal"/>
    <w:rsid w:val="00BF1913"/>
    <w:pPr>
      <w:keepNext/>
      <w:spacing w:before="480" w:after="240" w:line="220" w:lineRule="exact"/>
    </w:pPr>
    <w:rPr>
      <w:b/>
    </w:rPr>
  </w:style>
  <w:style w:type="paragraph" w:customStyle="1" w:styleId="Els-aditional-article-history">
    <w:name w:val="Els-aditional-article-history"/>
    <w:basedOn w:val="Normal"/>
    <w:rsid w:val="00BF1913"/>
    <w:pPr>
      <w:spacing w:after="400" w:line="200" w:lineRule="exact"/>
      <w:jc w:val="center"/>
    </w:pPr>
    <w:rPr>
      <w:b/>
      <w:noProof/>
      <w:sz w:val="16"/>
      <w:lang w:val="en-US"/>
    </w:rPr>
  </w:style>
  <w:style w:type="paragraph" w:customStyle="1" w:styleId="Els-Affiliation">
    <w:name w:val="Els-Affiliation"/>
    <w:next w:val="Els-Abstract-head"/>
    <w:rsid w:val="00BF1913"/>
    <w:pPr>
      <w:suppressAutoHyphens/>
      <w:spacing w:line="200" w:lineRule="exact"/>
      <w:jc w:val="center"/>
    </w:pPr>
    <w:rPr>
      <w:i/>
      <w:noProof/>
      <w:sz w:val="16"/>
    </w:rPr>
  </w:style>
  <w:style w:type="paragraph" w:customStyle="1" w:styleId="Els-appendixhead">
    <w:name w:val="Els-appendixhead"/>
    <w:next w:val="Normal"/>
    <w:rsid w:val="00BF1913"/>
    <w:pPr>
      <w:numPr>
        <w:numId w:val="1"/>
      </w:numPr>
      <w:spacing w:before="480" w:after="240" w:line="220" w:lineRule="exact"/>
    </w:pPr>
    <w:rPr>
      <w:b/>
    </w:rPr>
  </w:style>
  <w:style w:type="paragraph" w:customStyle="1" w:styleId="Els-appendixsubhead">
    <w:name w:val="Els-appendixsubhead"/>
    <w:next w:val="Normal"/>
    <w:rsid w:val="00BF1913"/>
    <w:pPr>
      <w:numPr>
        <w:ilvl w:val="1"/>
        <w:numId w:val="2"/>
      </w:numPr>
      <w:spacing w:before="240" w:after="240" w:line="220" w:lineRule="exact"/>
    </w:pPr>
    <w:rPr>
      <w:i/>
    </w:rPr>
  </w:style>
  <w:style w:type="paragraph" w:customStyle="1" w:styleId="Els-Author">
    <w:name w:val="Els-Author"/>
    <w:next w:val="Normal"/>
    <w:rsid w:val="00BF1913"/>
    <w:pPr>
      <w:keepNext/>
      <w:suppressAutoHyphens/>
      <w:spacing w:after="160" w:line="300" w:lineRule="exact"/>
      <w:jc w:val="center"/>
    </w:pPr>
    <w:rPr>
      <w:noProof/>
      <w:sz w:val="26"/>
    </w:rPr>
  </w:style>
  <w:style w:type="paragraph" w:customStyle="1" w:styleId="Els-body-text">
    <w:name w:val="Els-body-text"/>
    <w:rsid w:val="00BF1913"/>
    <w:pPr>
      <w:keepNext/>
      <w:spacing w:line="240" w:lineRule="exact"/>
      <w:ind w:firstLine="238"/>
      <w:jc w:val="both"/>
    </w:pPr>
  </w:style>
  <w:style w:type="paragraph" w:customStyle="1" w:styleId="Els-bulletlist">
    <w:name w:val="Els-bulletlist"/>
    <w:basedOn w:val="Els-body-text"/>
    <w:rsid w:val="00BF1913"/>
    <w:pPr>
      <w:numPr>
        <w:numId w:val="3"/>
      </w:numPr>
      <w:tabs>
        <w:tab w:val="left" w:pos="240"/>
      </w:tabs>
      <w:jc w:val="left"/>
    </w:pPr>
  </w:style>
  <w:style w:type="paragraph" w:customStyle="1" w:styleId="Els-caption">
    <w:name w:val="Els-caption"/>
    <w:rsid w:val="00BF1913"/>
    <w:pPr>
      <w:keepLines/>
      <w:spacing w:before="200" w:after="240" w:line="200" w:lineRule="exact"/>
    </w:pPr>
    <w:rPr>
      <w:sz w:val="16"/>
    </w:rPr>
  </w:style>
  <w:style w:type="paragraph" w:customStyle="1" w:styleId="Els-chem-equation">
    <w:name w:val="Els-chem-equation"/>
    <w:next w:val="Els-body-text"/>
    <w:rsid w:val="00BF1913"/>
    <w:pPr>
      <w:tabs>
        <w:tab w:val="right" w:pos="4320"/>
        <w:tab w:val="right" w:pos="9120"/>
      </w:tabs>
      <w:spacing w:before="120" w:after="120" w:line="220" w:lineRule="exact"/>
    </w:pPr>
    <w:rPr>
      <w:noProof/>
      <w:sz w:val="18"/>
    </w:rPr>
  </w:style>
  <w:style w:type="paragraph" w:customStyle="1" w:styleId="Els-collaboration">
    <w:name w:val="Els-collaboration"/>
    <w:basedOn w:val="Els-Author"/>
    <w:rsid w:val="00BF1913"/>
    <w:pPr>
      <w:jc w:val="right"/>
    </w:pPr>
  </w:style>
  <w:style w:type="paragraph" w:customStyle="1" w:styleId="Els-collaboration-affiliation">
    <w:name w:val="Els-collaboration-affiliation"/>
    <w:basedOn w:val="Els-collaboration"/>
    <w:rsid w:val="00BF1913"/>
  </w:style>
  <w:style w:type="paragraph" w:customStyle="1" w:styleId="Els-presented-by">
    <w:name w:val="Els-presented-by"/>
    <w:rsid w:val="00BF1913"/>
    <w:pPr>
      <w:spacing w:after="200"/>
      <w:jc w:val="center"/>
    </w:pPr>
    <w:rPr>
      <w:b/>
      <w:sz w:val="16"/>
    </w:rPr>
  </w:style>
  <w:style w:type="paragraph" w:customStyle="1" w:styleId="Els-dedicated-to">
    <w:name w:val="Els-dedicated-to"/>
    <w:basedOn w:val="Els-presented-by"/>
    <w:rsid w:val="00BF1913"/>
    <w:rPr>
      <w:b w:val="0"/>
    </w:rPr>
  </w:style>
  <w:style w:type="paragraph" w:customStyle="1" w:styleId="Els-equation">
    <w:name w:val="Els-equation"/>
    <w:next w:val="Els-body-text"/>
    <w:rsid w:val="00BF1913"/>
    <w:pPr>
      <w:tabs>
        <w:tab w:val="right" w:pos="4320"/>
        <w:tab w:val="right" w:pos="9120"/>
      </w:tabs>
      <w:spacing w:before="120" w:after="120" w:line="220" w:lineRule="exact"/>
      <w:ind w:left="480"/>
    </w:pPr>
    <w:rPr>
      <w:i/>
      <w:noProof/>
    </w:rPr>
  </w:style>
  <w:style w:type="paragraph" w:customStyle="1" w:styleId="Els-footnote">
    <w:name w:val="Els-footnote"/>
    <w:rsid w:val="00BF1913"/>
    <w:pPr>
      <w:keepLines/>
      <w:widowControl w:val="0"/>
      <w:spacing w:line="200" w:lineRule="exact"/>
      <w:ind w:firstLine="240"/>
      <w:jc w:val="both"/>
    </w:pPr>
    <w:rPr>
      <w:sz w:val="16"/>
    </w:rPr>
  </w:style>
  <w:style w:type="paragraph" w:customStyle="1" w:styleId="Els-history">
    <w:name w:val="Els-history"/>
    <w:next w:val="Normal"/>
    <w:rsid w:val="00BF1913"/>
    <w:pPr>
      <w:spacing w:before="120" w:after="400" w:line="200" w:lineRule="exact"/>
      <w:jc w:val="center"/>
    </w:pPr>
    <w:rPr>
      <w:noProof/>
      <w:sz w:val="16"/>
    </w:rPr>
  </w:style>
  <w:style w:type="paragraph" w:customStyle="1" w:styleId="Els-journal-logo">
    <w:name w:val="Els-journal-logo"/>
    <w:rsid w:val="00BF1913"/>
    <w:pPr>
      <w:pBdr>
        <w:top w:val="thinThickLargeGap" w:sz="12" w:space="0" w:color="auto"/>
        <w:bottom w:val="thickThinLargeGap" w:sz="12" w:space="0" w:color="auto"/>
      </w:pBdr>
    </w:pPr>
    <w:rPr>
      <w:rFonts w:ascii="Helvetica" w:hAnsi="Helvetica"/>
      <w:b/>
      <w:noProof/>
      <w:sz w:val="24"/>
    </w:rPr>
  </w:style>
  <w:style w:type="paragraph" w:customStyle="1" w:styleId="Els-keywords">
    <w:name w:val="Els-keywords"/>
    <w:next w:val="Normal"/>
    <w:rsid w:val="00BF1913"/>
    <w:pPr>
      <w:pBdr>
        <w:bottom w:val="single" w:sz="4" w:space="10" w:color="auto"/>
      </w:pBdr>
      <w:spacing w:after="200" w:line="200" w:lineRule="exact"/>
    </w:pPr>
    <w:rPr>
      <w:noProof/>
      <w:sz w:val="16"/>
    </w:rPr>
  </w:style>
  <w:style w:type="paragraph" w:customStyle="1" w:styleId="Els-numlist">
    <w:name w:val="Els-numlist"/>
    <w:basedOn w:val="Els-body-text"/>
    <w:rsid w:val="00BF1913"/>
    <w:pPr>
      <w:numPr>
        <w:numId w:val="4"/>
      </w:numPr>
      <w:tabs>
        <w:tab w:val="left" w:pos="240"/>
      </w:tabs>
      <w:ind w:left="480"/>
      <w:jc w:val="left"/>
    </w:pPr>
  </w:style>
  <w:style w:type="paragraph" w:customStyle="1" w:styleId="Els-reference">
    <w:name w:val="Els-reference"/>
    <w:rsid w:val="00BF1913"/>
    <w:pPr>
      <w:tabs>
        <w:tab w:val="left" w:pos="312"/>
      </w:tabs>
      <w:spacing w:line="200" w:lineRule="exact"/>
    </w:pPr>
  </w:style>
  <w:style w:type="paragraph" w:customStyle="1" w:styleId="Els-reference-head">
    <w:name w:val="Els-reference-head"/>
    <w:next w:val="Els-reference"/>
    <w:rsid w:val="00BF1913"/>
    <w:pPr>
      <w:keepNext/>
      <w:spacing w:before="480" w:after="200" w:line="220" w:lineRule="exact"/>
    </w:pPr>
    <w:rPr>
      <w:b/>
    </w:rPr>
  </w:style>
  <w:style w:type="paragraph" w:customStyle="1" w:styleId="Els-reprint-line">
    <w:name w:val="Els-reprint-line"/>
    <w:basedOn w:val="Normal"/>
    <w:rsid w:val="00BF1913"/>
    <w:pPr>
      <w:tabs>
        <w:tab w:val="left" w:pos="0"/>
        <w:tab w:val="center" w:pos="5443"/>
      </w:tabs>
      <w:jc w:val="center"/>
    </w:pPr>
    <w:rPr>
      <w:sz w:val="16"/>
    </w:rPr>
  </w:style>
  <w:style w:type="paragraph" w:customStyle="1" w:styleId="Els-table-text">
    <w:name w:val="Els-table-text"/>
    <w:rsid w:val="00BF1913"/>
    <w:pPr>
      <w:keepNext/>
      <w:spacing w:after="80" w:line="200" w:lineRule="exact"/>
    </w:pPr>
    <w:rPr>
      <w:sz w:val="16"/>
    </w:rPr>
  </w:style>
  <w:style w:type="paragraph" w:customStyle="1" w:styleId="Els-Title">
    <w:name w:val="Els-Title"/>
    <w:next w:val="Els-Author"/>
    <w:autoRedefine/>
    <w:rsid w:val="006632F1"/>
    <w:pPr>
      <w:suppressAutoHyphens/>
      <w:spacing w:after="240" w:line="400" w:lineRule="exact"/>
      <w:jc w:val="center"/>
    </w:pPr>
    <w:rPr>
      <w:rFonts w:asciiTheme="majorBidi" w:hAnsiTheme="majorBidi" w:cstheme="majorBidi"/>
      <w:sz w:val="16"/>
      <w:szCs w:val="16"/>
      <w:lang w:val="id-ID"/>
    </w:rPr>
  </w:style>
  <w:style w:type="character" w:styleId="EndnoteReference">
    <w:name w:val="endnote reference"/>
    <w:rsid w:val="00BF1913"/>
    <w:rPr>
      <w:vertAlign w:val="superscript"/>
    </w:rPr>
  </w:style>
  <w:style w:type="paragraph" w:styleId="Header">
    <w:name w:val="header"/>
    <w:link w:val="HeaderChar"/>
    <w:uiPriority w:val="99"/>
    <w:rsid w:val="00BF1913"/>
    <w:pPr>
      <w:tabs>
        <w:tab w:val="center" w:pos="4706"/>
        <w:tab w:val="right" w:pos="9356"/>
      </w:tabs>
      <w:spacing w:after="240" w:line="200" w:lineRule="atLeast"/>
    </w:pPr>
    <w:rPr>
      <w:i/>
      <w:noProof/>
      <w:sz w:val="16"/>
    </w:rPr>
  </w:style>
  <w:style w:type="paragraph" w:styleId="Footer">
    <w:name w:val="footer"/>
    <w:basedOn w:val="Header"/>
    <w:link w:val="FooterChar"/>
    <w:rsid w:val="00BF1913"/>
    <w:pPr>
      <w:tabs>
        <w:tab w:val="right" w:pos="10080"/>
      </w:tabs>
    </w:pPr>
    <w:rPr>
      <w:i w:val="0"/>
    </w:rPr>
  </w:style>
  <w:style w:type="character" w:styleId="FootnoteReference">
    <w:name w:val="footnote reference"/>
    <w:uiPriority w:val="99"/>
    <w:rsid w:val="00BF1913"/>
    <w:rPr>
      <w:vertAlign w:val="superscript"/>
    </w:rPr>
  </w:style>
  <w:style w:type="paragraph" w:styleId="FootnoteText">
    <w:name w:val="footnote text"/>
    <w:basedOn w:val="Normal"/>
    <w:link w:val="FootnoteTextChar1"/>
    <w:uiPriority w:val="99"/>
    <w:rsid w:val="00BF1913"/>
    <w:rPr>
      <w:rFonts w:ascii="Univers" w:hAnsi="Univers"/>
    </w:rPr>
  </w:style>
  <w:style w:type="character" w:styleId="Hyperlink">
    <w:name w:val="Hyperlink"/>
    <w:uiPriority w:val="99"/>
    <w:rsid w:val="00BF1913"/>
    <w:rPr>
      <w:color w:val="auto"/>
      <w:sz w:val="16"/>
      <w:u w:val="none"/>
    </w:rPr>
  </w:style>
  <w:style w:type="character" w:customStyle="1" w:styleId="MTEquationSection">
    <w:name w:val="MTEquationSection"/>
    <w:rsid w:val="00BF1913"/>
    <w:rPr>
      <w:vanish w:val="0"/>
      <w:color w:val="FF0000"/>
    </w:rPr>
  </w:style>
  <w:style w:type="character" w:styleId="PageNumber">
    <w:name w:val="page number"/>
    <w:rsid w:val="00BF1913"/>
    <w:rPr>
      <w:sz w:val="16"/>
    </w:rPr>
  </w:style>
  <w:style w:type="paragraph" w:styleId="PlainText">
    <w:name w:val="Plain Text"/>
    <w:basedOn w:val="Normal"/>
    <w:semiHidden/>
    <w:rsid w:val="00BF1913"/>
    <w:rPr>
      <w:rFonts w:ascii="Courier New" w:hAnsi="Courier New" w:cs="Courier New"/>
      <w:lang w:val="en-US"/>
    </w:rPr>
  </w:style>
  <w:style w:type="paragraph" w:customStyle="1" w:styleId="Els-5thorder-head">
    <w:name w:val="Els-5thorder-head"/>
    <w:next w:val="Els-body-text"/>
    <w:rsid w:val="00BF1913"/>
    <w:pPr>
      <w:keepNext/>
      <w:suppressAutoHyphens/>
      <w:spacing w:line="240" w:lineRule="exact"/>
    </w:pPr>
    <w:rPr>
      <w:i/>
    </w:rPr>
  </w:style>
  <w:style w:type="paragraph" w:customStyle="1" w:styleId="Els-Abstract-Copyright">
    <w:name w:val="Els-Abstract-Copyright"/>
    <w:basedOn w:val="Els-Abstract-text"/>
    <w:rsid w:val="00BF1913"/>
    <w:pPr>
      <w:spacing w:after="220"/>
    </w:pPr>
  </w:style>
  <w:style w:type="paragraph" w:customStyle="1" w:styleId="DocHead">
    <w:name w:val="DocHead"/>
    <w:rsid w:val="00BF1913"/>
    <w:pPr>
      <w:spacing w:after="240"/>
      <w:jc w:val="center"/>
    </w:pPr>
    <w:rPr>
      <w:sz w:val="24"/>
    </w:rPr>
  </w:style>
  <w:style w:type="character" w:styleId="FollowedHyperlink">
    <w:name w:val="FollowedHyperlink"/>
    <w:semiHidden/>
    <w:rsid w:val="00BF1913"/>
    <w:rPr>
      <w:color w:val="800080"/>
      <w:u w:val="single"/>
    </w:rPr>
  </w:style>
  <w:style w:type="character" w:customStyle="1" w:styleId="Els-1storder-headChar">
    <w:name w:val="Els-1storder-head Char"/>
    <w:rsid w:val="00BF1913"/>
    <w:rPr>
      <w:b/>
      <w:lang w:val="en-US" w:eastAsia="en-US" w:bidi="ar-SA"/>
    </w:rPr>
  </w:style>
  <w:style w:type="paragraph" w:styleId="BodyTextIndent">
    <w:name w:val="Body Text Indent"/>
    <w:basedOn w:val="Normal"/>
    <w:semiHidden/>
    <w:rsid w:val="00BF1913"/>
    <w:pPr>
      <w:ind w:firstLine="240"/>
    </w:pPr>
    <w:rPr>
      <w:lang w:val="en-US"/>
    </w:rPr>
  </w:style>
  <w:style w:type="paragraph" w:styleId="BalloonText">
    <w:name w:val="Balloon Text"/>
    <w:basedOn w:val="Normal"/>
    <w:uiPriority w:val="99"/>
    <w:rsid w:val="00BF1913"/>
    <w:rPr>
      <w:rFonts w:ascii="Tahoma" w:hAnsi="Tahoma" w:cs="Tahoma"/>
      <w:sz w:val="16"/>
      <w:szCs w:val="16"/>
    </w:rPr>
  </w:style>
  <w:style w:type="character" w:customStyle="1" w:styleId="BalloonTextChar">
    <w:name w:val="Balloon Text Char"/>
    <w:uiPriority w:val="99"/>
    <w:rsid w:val="00BF1913"/>
    <w:rPr>
      <w:rFonts w:ascii="Tahoma" w:hAnsi="Tahoma" w:cs="Tahoma"/>
      <w:sz w:val="16"/>
      <w:szCs w:val="16"/>
      <w:lang w:eastAsia="en-US"/>
    </w:rPr>
  </w:style>
  <w:style w:type="character" w:styleId="CommentReference">
    <w:name w:val="annotation reference"/>
    <w:uiPriority w:val="99"/>
    <w:rsid w:val="00BF1913"/>
    <w:rPr>
      <w:sz w:val="16"/>
      <w:szCs w:val="16"/>
    </w:rPr>
  </w:style>
  <w:style w:type="paragraph" w:styleId="CommentText">
    <w:name w:val="annotation text"/>
    <w:basedOn w:val="Normal"/>
    <w:uiPriority w:val="99"/>
    <w:rsid w:val="00BF1913"/>
  </w:style>
  <w:style w:type="character" w:customStyle="1" w:styleId="CommentTextChar">
    <w:name w:val="Comment Text Char"/>
    <w:uiPriority w:val="99"/>
    <w:rsid w:val="00BF1913"/>
    <w:rPr>
      <w:lang w:val="en-GB"/>
    </w:rPr>
  </w:style>
  <w:style w:type="paragraph" w:styleId="CommentSubject">
    <w:name w:val="annotation subject"/>
    <w:basedOn w:val="CommentText"/>
    <w:next w:val="CommentText"/>
    <w:rsid w:val="00BF1913"/>
    <w:rPr>
      <w:b/>
      <w:bCs/>
    </w:rPr>
  </w:style>
  <w:style w:type="character" w:customStyle="1" w:styleId="CommentSubjectChar">
    <w:name w:val="Comment Subject Char"/>
    <w:rsid w:val="00BF1913"/>
    <w:rPr>
      <w:b/>
      <w:bCs/>
      <w:lang w:val="en-GB"/>
    </w:rPr>
  </w:style>
  <w:style w:type="paragraph" w:styleId="ListParagraph">
    <w:name w:val="List Paragraph"/>
    <w:basedOn w:val="Normal"/>
    <w:uiPriority w:val="34"/>
    <w:qFormat/>
    <w:rsid w:val="004014D4"/>
    <w:pPr>
      <w:spacing w:after="200" w:line="276" w:lineRule="auto"/>
      <w:ind w:left="720"/>
      <w:contextualSpacing/>
    </w:pPr>
    <w:rPr>
      <w:rFonts w:ascii="Calibri" w:eastAsia="Calibri" w:hAnsi="Calibri" w:cs="Arial"/>
      <w:sz w:val="22"/>
      <w:szCs w:val="22"/>
      <w:lang w:val="en-US"/>
    </w:rPr>
  </w:style>
  <w:style w:type="character" w:customStyle="1" w:styleId="Heading1Char">
    <w:name w:val="Heading 1 Char"/>
    <w:aliases w:val="- Emerald Char"/>
    <w:basedOn w:val="DefaultParagraphFont"/>
    <w:link w:val="Heading1"/>
    <w:uiPriority w:val="9"/>
    <w:rsid w:val="00802C8C"/>
    <w:rPr>
      <w:rFonts w:ascii="Arial" w:eastAsia="Times New Roman" w:hAnsi="Arial"/>
      <w:color w:val="FFFFFF"/>
      <w:kern w:val="28"/>
      <w:sz w:val="50"/>
      <w:lang w:eastAsia="en-GB"/>
    </w:rPr>
  </w:style>
  <w:style w:type="character" w:customStyle="1" w:styleId="Heading2Char">
    <w:name w:val="Heading 2 Char"/>
    <w:basedOn w:val="DefaultParagraphFont"/>
    <w:link w:val="Heading2"/>
    <w:rsid w:val="00802C8C"/>
    <w:rPr>
      <w:rFonts w:ascii="Arial" w:eastAsia="Times New Roman" w:hAnsi="Arial"/>
      <w:color w:val="C0C0C0"/>
      <w:sz w:val="36"/>
      <w:szCs w:val="24"/>
      <w:lang w:val="en-GB" w:eastAsia="en-GB"/>
    </w:rPr>
  </w:style>
  <w:style w:type="paragraph" w:customStyle="1" w:styleId="BodycopyEmerald">
    <w:name w:val="Body copy – Emerald"/>
    <w:rsid w:val="00802C8C"/>
    <w:pPr>
      <w:keepLines/>
      <w:spacing w:before="100"/>
    </w:pPr>
    <w:rPr>
      <w:rFonts w:ascii="Arial" w:eastAsia="Times New Roman" w:hAnsi="Arial"/>
      <w:color w:val="000000"/>
      <w:sz w:val="18"/>
      <w:lang w:eastAsia="en-GB"/>
    </w:rPr>
  </w:style>
  <w:style w:type="paragraph" w:customStyle="1" w:styleId="numberedpointEmerald">
    <w:name w:val="numbered point – Emerald"/>
    <w:rsid w:val="00802C8C"/>
    <w:pPr>
      <w:numPr>
        <w:numId w:val="10"/>
      </w:numPr>
      <w:tabs>
        <w:tab w:val="num" w:pos="227"/>
      </w:tabs>
      <w:spacing w:before="100"/>
      <w:ind w:left="227" w:hanging="227"/>
    </w:pPr>
    <w:rPr>
      <w:rFonts w:ascii="Arial" w:eastAsia="Times New Roman" w:hAnsi="Arial"/>
      <w:color w:val="000000"/>
      <w:sz w:val="18"/>
      <w:lang w:val="en-GB" w:eastAsia="en-GB"/>
    </w:rPr>
  </w:style>
  <w:style w:type="paragraph" w:customStyle="1" w:styleId="BooktitleheadingEmerald">
    <w:name w:val="Book title heading – Emerald"/>
    <w:next w:val="BodycopyEmerald"/>
    <w:semiHidden/>
    <w:rsid w:val="00802C8C"/>
    <w:pPr>
      <w:keepNext/>
      <w:spacing w:before="60"/>
    </w:pPr>
    <w:rPr>
      <w:rFonts w:ascii="Arial" w:eastAsia="Times New Roman" w:hAnsi="Arial"/>
      <w:color w:val="000000"/>
      <w:sz w:val="25"/>
      <w:lang w:val="en-GB" w:eastAsia="en-GB"/>
    </w:rPr>
  </w:style>
  <w:style w:type="paragraph" w:customStyle="1" w:styleId="BulletpointEmerald">
    <w:name w:val="Bullet point – Emerald"/>
    <w:basedOn w:val="BodycopyEmerald"/>
    <w:rsid w:val="00802C8C"/>
    <w:pPr>
      <w:numPr>
        <w:numId w:val="9"/>
      </w:numPr>
      <w:tabs>
        <w:tab w:val="num" w:pos="227"/>
      </w:tabs>
      <w:ind w:left="227" w:hanging="227"/>
    </w:pPr>
    <w:rPr>
      <w:lang w:val="en-GB"/>
    </w:rPr>
  </w:style>
  <w:style w:type="character" w:customStyle="1" w:styleId="BodycopyboldEmerald">
    <w:name w:val="Body copy bold – Emerald"/>
    <w:rsid w:val="00802C8C"/>
    <w:rPr>
      <w:rFonts w:ascii="Arial" w:hAnsi="Arial"/>
      <w:b/>
      <w:sz w:val="18"/>
    </w:rPr>
  </w:style>
  <w:style w:type="paragraph" w:customStyle="1" w:styleId="subheadingEmerald">
    <w:name w:val="subheading – Emerald"/>
    <w:rsid w:val="00802C8C"/>
    <w:pPr>
      <w:spacing w:before="240"/>
    </w:pPr>
    <w:rPr>
      <w:rFonts w:ascii="Arial" w:eastAsia="Times New Roman" w:hAnsi="Arial"/>
      <w:b/>
      <w:noProof/>
      <w:color w:val="009A49"/>
      <w:lang w:val="en-GB" w:eastAsia="en-GB"/>
    </w:rPr>
  </w:style>
  <w:style w:type="character" w:customStyle="1" w:styleId="URLe-mailEmerald">
    <w:name w:val="URL/e-mail – Emerald"/>
    <w:rsid w:val="00802C8C"/>
    <w:rPr>
      <w:rFonts w:ascii="Arial" w:hAnsi="Arial"/>
      <w:b/>
      <w:sz w:val="18"/>
    </w:rPr>
  </w:style>
  <w:style w:type="paragraph" w:customStyle="1" w:styleId="HeaderfootercontinuationEmerald">
    <w:name w:val="Header/footer continuation – Emerald"/>
    <w:rsid w:val="00802C8C"/>
    <w:rPr>
      <w:rFonts w:ascii="Arial" w:eastAsia="Times New Roman" w:hAnsi="Arial"/>
      <w:b/>
      <w:color w:val="FFFFFF"/>
      <w:sz w:val="18"/>
      <w:lang w:eastAsia="en-GB"/>
    </w:rPr>
  </w:style>
  <w:style w:type="paragraph" w:customStyle="1" w:styleId="mainheadingEmerald">
    <w:name w:val="main heading – Emerald"/>
    <w:rsid w:val="00802C8C"/>
    <w:rPr>
      <w:rFonts w:ascii="Arial" w:eastAsia="Times New Roman" w:hAnsi="Arial"/>
      <w:noProof/>
      <w:color w:val="FFFFFF"/>
      <w:sz w:val="44"/>
      <w:lang w:val="en-GB" w:eastAsia="en-GB"/>
    </w:rPr>
  </w:style>
  <w:style w:type="table" w:styleId="TableGrid">
    <w:name w:val="Table Grid"/>
    <w:basedOn w:val="TableNormal"/>
    <w:rsid w:val="00802C8C"/>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802C8C"/>
    <w:rPr>
      <w:rFonts w:eastAsia="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Accent11">
    <w:name w:val="Light Shading - Accent 11"/>
    <w:basedOn w:val="TableNormal"/>
    <w:uiPriority w:val="60"/>
    <w:rsid w:val="00802C8C"/>
    <w:rPr>
      <w:rFonts w:eastAsia="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Web3">
    <w:name w:val="Table Web 3"/>
    <w:basedOn w:val="TableNormal"/>
    <w:rsid w:val="00802C8C"/>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Simple1">
    <w:name w:val="Table Simple 1"/>
    <w:basedOn w:val="TableNormal"/>
    <w:rsid w:val="00802C8C"/>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1">
    <w:name w:val="Light Shading1"/>
    <w:basedOn w:val="TableNormal"/>
    <w:uiPriority w:val="60"/>
    <w:rsid w:val="00802C8C"/>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Colorful1">
    <w:name w:val="Table Colorful 1"/>
    <w:basedOn w:val="TableNormal"/>
    <w:rsid w:val="00802C8C"/>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List2">
    <w:name w:val="Table List 2"/>
    <w:basedOn w:val="TableNormal"/>
    <w:rsid w:val="00802C8C"/>
    <w:rPr>
      <w:rFonts w:eastAsia="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1">
    <w:name w:val="Light Shading11"/>
    <w:basedOn w:val="TableNormal"/>
    <w:next w:val="LightShading1"/>
    <w:uiPriority w:val="60"/>
    <w:rsid w:val="00802C8C"/>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next w:val="LightShading1"/>
    <w:uiPriority w:val="60"/>
    <w:rsid w:val="00802C8C"/>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odyTextIndent0">
    <w:name w:val="Body Text (Indent)"/>
    <w:basedOn w:val="Normal"/>
    <w:next w:val="Normal"/>
    <w:autoRedefine/>
    <w:qFormat/>
    <w:rsid w:val="00802C8C"/>
    <w:pPr>
      <w:spacing w:line="480" w:lineRule="auto"/>
      <w:contextualSpacing/>
      <w:jc w:val="both"/>
    </w:pPr>
    <w:rPr>
      <w:rFonts w:eastAsia="Calibri" w:cs="Arial"/>
      <w:sz w:val="24"/>
      <w:szCs w:val="22"/>
      <w:lang w:val="en-US"/>
    </w:rPr>
  </w:style>
  <w:style w:type="table" w:styleId="TableList3">
    <w:name w:val="Table List 3"/>
    <w:basedOn w:val="TableNormal"/>
    <w:rsid w:val="00802C8C"/>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Bibliography">
    <w:name w:val="Bibliography"/>
    <w:basedOn w:val="Normal"/>
    <w:next w:val="Normal"/>
    <w:uiPriority w:val="37"/>
    <w:unhideWhenUsed/>
    <w:rsid w:val="00802C8C"/>
    <w:rPr>
      <w:rFonts w:eastAsia="Times New Roman"/>
      <w:sz w:val="24"/>
      <w:szCs w:val="24"/>
      <w:lang w:eastAsia="en-GB"/>
    </w:rPr>
  </w:style>
  <w:style w:type="paragraph" w:customStyle="1" w:styleId="FootnoteText1">
    <w:name w:val="Footnote Text1"/>
    <w:basedOn w:val="Normal"/>
    <w:next w:val="FootnoteText"/>
    <w:link w:val="FootnoteTextChar"/>
    <w:uiPriority w:val="99"/>
    <w:semiHidden/>
    <w:unhideWhenUsed/>
    <w:rsid w:val="00802C8C"/>
    <w:rPr>
      <w:rFonts w:eastAsia="Times New Roman"/>
      <w:lang w:eastAsia="en-GB"/>
    </w:rPr>
  </w:style>
  <w:style w:type="character" w:customStyle="1" w:styleId="FootnoteTextChar">
    <w:name w:val="Footnote Text Char"/>
    <w:link w:val="FootnoteText1"/>
    <w:uiPriority w:val="99"/>
    <w:rsid w:val="00802C8C"/>
    <w:rPr>
      <w:rFonts w:eastAsia="Times New Roman"/>
      <w:lang w:val="en-GB" w:eastAsia="en-GB"/>
    </w:rPr>
  </w:style>
  <w:style w:type="character" w:customStyle="1" w:styleId="FootnoteTextChar1">
    <w:name w:val="Footnote Text Char1"/>
    <w:link w:val="FootnoteText"/>
    <w:rsid w:val="00802C8C"/>
    <w:rPr>
      <w:rFonts w:ascii="Univers" w:hAnsi="Univers"/>
      <w:lang w:val="en-GB"/>
    </w:rPr>
  </w:style>
  <w:style w:type="paragraph" w:styleId="EndnoteText">
    <w:name w:val="endnote text"/>
    <w:basedOn w:val="Normal"/>
    <w:link w:val="EndnoteTextChar"/>
    <w:rsid w:val="00802C8C"/>
    <w:rPr>
      <w:rFonts w:eastAsia="Times New Roman"/>
      <w:lang w:eastAsia="en-GB"/>
    </w:rPr>
  </w:style>
  <w:style w:type="character" w:customStyle="1" w:styleId="EndnoteTextChar">
    <w:name w:val="Endnote Text Char"/>
    <w:basedOn w:val="DefaultParagraphFont"/>
    <w:link w:val="EndnoteText"/>
    <w:rsid w:val="00802C8C"/>
    <w:rPr>
      <w:rFonts w:eastAsia="Times New Roman"/>
      <w:lang w:val="en-GB" w:eastAsia="en-GB"/>
    </w:rPr>
  </w:style>
  <w:style w:type="character" w:customStyle="1" w:styleId="FooterChar">
    <w:name w:val="Footer Char"/>
    <w:basedOn w:val="DefaultParagraphFont"/>
    <w:link w:val="Footer"/>
    <w:uiPriority w:val="99"/>
    <w:rsid w:val="00802C8C"/>
    <w:rPr>
      <w:noProof/>
      <w:sz w:val="16"/>
    </w:rPr>
  </w:style>
  <w:style w:type="paragraph" w:customStyle="1" w:styleId="Default">
    <w:name w:val="Default"/>
    <w:rsid w:val="0055322F"/>
    <w:pPr>
      <w:autoSpaceDE w:val="0"/>
      <w:autoSpaceDN w:val="0"/>
      <w:adjustRightInd w:val="0"/>
    </w:pPr>
    <w:rPr>
      <w:rFonts w:eastAsia="Calibri"/>
      <w:color w:val="000000"/>
      <w:sz w:val="24"/>
      <w:szCs w:val="24"/>
    </w:rPr>
  </w:style>
  <w:style w:type="character" w:customStyle="1" w:styleId="apple-converted-space">
    <w:name w:val="apple-converted-space"/>
    <w:basedOn w:val="DefaultParagraphFont"/>
    <w:rsid w:val="0055322F"/>
  </w:style>
  <w:style w:type="character" w:customStyle="1" w:styleId="apple-style-span">
    <w:name w:val="apple-style-span"/>
    <w:basedOn w:val="DefaultParagraphFont"/>
    <w:rsid w:val="0055322F"/>
  </w:style>
  <w:style w:type="character" w:customStyle="1" w:styleId="HeaderChar">
    <w:name w:val="Header Char"/>
    <w:link w:val="Header"/>
    <w:uiPriority w:val="99"/>
    <w:rsid w:val="0055322F"/>
    <w:rPr>
      <w:i/>
      <w:noProof/>
      <w:sz w:val="16"/>
    </w:rPr>
  </w:style>
  <w:style w:type="paragraph" w:styleId="NormalWeb">
    <w:name w:val="Normal (Web)"/>
    <w:basedOn w:val="Normal"/>
    <w:uiPriority w:val="99"/>
    <w:unhideWhenUsed/>
    <w:rsid w:val="0055322F"/>
    <w:pPr>
      <w:spacing w:before="100" w:beforeAutospacing="1" w:after="100" w:afterAutospacing="1"/>
    </w:pPr>
    <w:rPr>
      <w:rFonts w:eastAsia="Times New Roman"/>
      <w:sz w:val="24"/>
      <w:szCs w:val="24"/>
      <w:lang w:val="en-MY" w:eastAsia="en-MY"/>
    </w:rPr>
  </w:style>
  <w:style w:type="character" w:styleId="HTMLCite">
    <w:name w:val="HTML Cite"/>
    <w:uiPriority w:val="99"/>
    <w:semiHidden/>
    <w:unhideWhenUsed/>
    <w:rsid w:val="0055322F"/>
    <w:rPr>
      <w:i/>
      <w:iCs/>
    </w:rPr>
  </w:style>
  <w:style w:type="paragraph" w:customStyle="1" w:styleId="txtmain01">
    <w:name w:val="txtmain01"/>
    <w:basedOn w:val="Normal"/>
    <w:rsid w:val="0055322F"/>
    <w:pPr>
      <w:spacing w:before="100" w:beforeAutospacing="1" w:after="100" w:afterAutospacing="1"/>
    </w:pPr>
    <w:rPr>
      <w:rFonts w:eastAsia="Times New Roman"/>
      <w:sz w:val="24"/>
      <w:szCs w:val="24"/>
      <w:lang w:val="en-US"/>
    </w:rPr>
  </w:style>
  <w:style w:type="character" w:customStyle="1" w:styleId="text9">
    <w:name w:val="text9"/>
    <w:rsid w:val="0055322F"/>
  </w:style>
  <w:style w:type="character" w:styleId="Strong">
    <w:name w:val="Strong"/>
    <w:uiPriority w:val="22"/>
    <w:qFormat/>
    <w:rsid w:val="0055322F"/>
    <w:rPr>
      <w:b/>
      <w:bCs/>
    </w:rPr>
  </w:style>
  <w:style w:type="character" w:styleId="Emphasis">
    <w:name w:val="Emphasis"/>
    <w:uiPriority w:val="20"/>
    <w:qFormat/>
    <w:rsid w:val="0055322F"/>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toolkit\new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26156-26C5-482F-AF9C-843042F78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Template>
  <TotalTime>349</TotalTime>
  <Pages>17</Pages>
  <Words>10565</Words>
  <Characters>60075</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Article</vt:lpstr>
    </vt:vector>
  </TitlesOfParts>
  <Company>Toshiba</Company>
  <LinksUpToDate>false</LinksUpToDate>
  <CharactersWithSpaces>70500</CharactersWithSpaces>
  <SharedDoc>false</SharedDoc>
  <HLinks>
    <vt:vector size="6" baseType="variant">
      <vt:variant>
        <vt:i4>327754</vt:i4>
      </vt:variant>
      <vt:variant>
        <vt:i4>-1</vt:i4>
      </vt:variant>
      <vt:variant>
        <vt:i4>2049</vt:i4>
      </vt:variant>
      <vt:variant>
        <vt:i4>1</vt:i4>
      </vt:variant>
      <vt:variant>
        <vt:lpwstr>http://t1.gstatic.com/images?q=tbn:ANd9GcR-qilIEZdLuUWv07tuAMBFBUOtpYhYaM3arwYBgzDTXkuqxceEEA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Dr Muhamad Abduh</dc:creator>
  <cp:lastModifiedBy>IIBF</cp:lastModifiedBy>
  <cp:revision>39</cp:revision>
  <cp:lastPrinted>2010-10-20T07:28:00Z</cp:lastPrinted>
  <dcterms:created xsi:type="dcterms:W3CDTF">2015-11-12T19:04:00Z</dcterms:created>
  <dcterms:modified xsi:type="dcterms:W3CDTF">2015-11-16T02:49:00Z</dcterms:modified>
</cp:coreProperties>
</file>